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0A7" w:rsidRPr="00012B72" w:rsidRDefault="00F620A7" w:rsidP="00A107F9">
      <w:pPr>
        <w:suppressLineNumbers/>
        <w:spacing w:after="0" w:line="276" w:lineRule="auto"/>
        <w:jc w:val="center"/>
        <w:rPr>
          <w:rFonts w:ascii="Cambria" w:hAnsi="Cambria"/>
          <w:b/>
          <w:caps/>
          <w:sz w:val="24"/>
        </w:rPr>
      </w:pPr>
      <w:r w:rsidRPr="00012B72">
        <w:rPr>
          <w:rFonts w:ascii="Cambria" w:hAnsi="Cambria"/>
          <w:b/>
          <w:caps/>
          <w:sz w:val="24"/>
        </w:rPr>
        <w:t>Conselho de Arquitetura e Urbanismo de Minas Gerais</w:t>
      </w:r>
    </w:p>
    <w:p w:rsidR="00F620A7" w:rsidRPr="00012B72" w:rsidRDefault="00F620A7" w:rsidP="00A107F9">
      <w:pPr>
        <w:suppressLineNumbers/>
        <w:spacing w:after="0" w:line="276" w:lineRule="auto"/>
        <w:jc w:val="center"/>
        <w:rPr>
          <w:rFonts w:ascii="Cambria" w:hAnsi="Cambria"/>
          <w:b/>
          <w:caps/>
          <w:sz w:val="28"/>
        </w:rPr>
      </w:pPr>
      <w:r w:rsidRPr="00012B72">
        <w:rPr>
          <w:rFonts w:ascii="Cambria" w:hAnsi="Cambria"/>
          <w:b/>
          <w:caps/>
          <w:sz w:val="28"/>
        </w:rPr>
        <w:t>Comissão de Exercício Profissional</w:t>
      </w:r>
    </w:p>
    <w:p w:rsidR="00F620A7" w:rsidRPr="00F620A7" w:rsidRDefault="00F620A7" w:rsidP="00A107F9">
      <w:pPr>
        <w:suppressLineNumbers/>
        <w:spacing w:after="0" w:line="240" w:lineRule="auto"/>
        <w:jc w:val="center"/>
        <w:rPr>
          <w:rFonts w:ascii="Cambria" w:hAnsi="Cambria"/>
          <w:b/>
          <w:caps/>
          <w:sz w:val="10"/>
          <w:szCs w:val="10"/>
        </w:rPr>
      </w:pPr>
    </w:p>
    <w:tbl>
      <w:tblPr>
        <w:tblStyle w:val="Tabelacomgrelha"/>
        <w:tblW w:w="9639"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639"/>
      </w:tblGrid>
      <w:tr w:rsidR="00F620A7" w:rsidRPr="00F620A7" w:rsidTr="00FE6DEB">
        <w:trPr>
          <w:trHeight w:val="482"/>
          <w:jc w:val="center"/>
        </w:trPr>
        <w:tc>
          <w:tcPr>
            <w:tcW w:w="9639" w:type="dxa"/>
            <w:tcBorders>
              <w:top w:val="single" w:sz="12" w:space="0" w:color="auto"/>
              <w:bottom w:val="single" w:sz="12" w:space="0" w:color="auto"/>
            </w:tcBorders>
            <w:shd w:val="clear" w:color="auto" w:fill="BFBFBF" w:themeFill="background1" w:themeFillShade="BF"/>
            <w:vAlign w:val="center"/>
          </w:tcPr>
          <w:p w:rsidR="00F620A7" w:rsidRPr="00A107F9" w:rsidRDefault="00F620A7" w:rsidP="007B22DC">
            <w:pPr>
              <w:suppressLineNumbers/>
              <w:jc w:val="center"/>
              <w:rPr>
                <w:rFonts w:ascii="Cambria" w:hAnsi="Cambria"/>
                <w:b/>
                <w:caps/>
                <w:sz w:val="26"/>
                <w:szCs w:val="26"/>
              </w:rPr>
            </w:pPr>
            <w:r w:rsidRPr="00A107F9">
              <w:rPr>
                <w:rFonts w:ascii="Cambria" w:hAnsi="Cambria"/>
                <w:b/>
                <w:caps/>
                <w:sz w:val="26"/>
                <w:szCs w:val="26"/>
              </w:rPr>
              <w:t>Deliberação 0</w:t>
            </w:r>
            <w:r w:rsidR="007B22DC">
              <w:rPr>
                <w:rFonts w:ascii="Cambria" w:hAnsi="Cambria"/>
                <w:b/>
                <w:caps/>
                <w:sz w:val="26"/>
                <w:szCs w:val="26"/>
              </w:rPr>
              <w:t>8</w:t>
            </w:r>
            <w:r w:rsidRPr="00A107F9">
              <w:rPr>
                <w:rFonts w:ascii="Cambria" w:hAnsi="Cambria"/>
                <w:b/>
                <w:caps/>
                <w:sz w:val="26"/>
                <w:szCs w:val="26"/>
              </w:rPr>
              <w:t>/2016</w:t>
            </w:r>
          </w:p>
        </w:tc>
      </w:tr>
    </w:tbl>
    <w:p w:rsidR="00F620A7" w:rsidRDefault="00F620A7" w:rsidP="00DC7F83">
      <w:pPr>
        <w:suppressLineNumbers/>
        <w:spacing w:after="0" w:line="276" w:lineRule="auto"/>
        <w:jc w:val="center"/>
        <w:rPr>
          <w:rFonts w:ascii="Cambria" w:hAnsi="Cambria"/>
          <w:b/>
          <w:caps/>
          <w:sz w:val="24"/>
        </w:rPr>
      </w:pPr>
    </w:p>
    <w:tbl>
      <w:tblPr>
        <w:tblStyle w:val="Tabelacomgrelha"/>
        <w:tblW w:w="9639" w:type="dxa"/>
        <w:jc w:val="center"/>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843"/>
        <w:gridCol w:w="7796"/>
      </w:tblGrid>
      <w:tr w:rsidR="00A107F9" w:rsidRPr="00A107F9" w:rsidTr="00C54227">
        <w:trPr>
          <w:trHeight w:val="351"/>
          <w:jc w:val="center"/>
        </w:trPr>
        <w:tc>
          <w:tcPr>
            <w:tcW w:w="1843" w:type="dxa"/>
            <w:vAlign w:val="center"/>
          </w:tcPr>
          <w:p w:rsidR="00A107F9" w:rsidRPr="00C54227" w:rsidRDefault="00A107F9" w:rsidP="00A107F9">
            <w:pPr>
              <w:suppressLineNumbers/>
              <w:jc w:val="right"/>
              <w:rPr>
                <w:rFonts w:ascii="Cambria" w:hAnsi="Cambria"/>
                <w:caps/>
                <w:sz w:val="21"/>
                <w:szCs w:val="21"/>
              </w:rPr>
            </w:pPr>
            <w:r w:rsidRPr="00C54227">
              <w:rPr>
                <w:rFonts w:ascii="Cambria" w:hAnsi="Cambria"/>
                <w:caps/>
                <w:sz w:val="21"/>
                <w:szCs w:val="21"/>
              </w:rPr>
              <w:t>Assunto:</w:t>
            </w:r>
          </w:p>
        </w:tc>
        <w:tc>
          <w:tcPr>
            <w:tcW w:w="7796" w:type="dxa"/>
            <w:vAlign w:val="center"/>
          </w:tcPr>
          <w:p w:rsidR="00A107F9" w:rsidRPr="00A23C09" w:rsidRDefault="007B22DC" w:rsidP="007B22DC">
            <w:pPr>
              <w:suppressLineNumbers/>
              <w:rPr>
                <w:rFonts w:ascii="Cambria" w:hAnsi="Cambria"/>
              </w:rPr>
            </w:pPr>
            <w:r>
              <w:rPr>
                <w:rFonts w:ascii="Cambria" w:hAnsi="Cambria"/>
              </w:rPr>
              <w:t xml:space="preserve">Expedição e emissão </w:t>
            </w:r>
            <w:r w:rsidR="00A23C09">
              <w:rPr>
                <w:rFonts w:ascii="Cambria" w:hAnsi="Cambria"/>
              </w:rPr>
              <w:t>de</w:t>
            </w:r>
            <w:r>
              <w:rPr>
                <w:rFonts w:ascii="Cambria" w:hAnsi="Cambria"/>
              </w:rPr>
              <w:t xml:space="preserve"> multas em processos de fiscalização</w:t>
            </w:r>
          </w:p>
        </w:tc>
      </w:tr>
      <w:tr w:rsidR="009E5F50" w:rsidRPr="00A107F9" w:rsidTr="00C54227">
        <w:trPr>
          <w:trHeight w:val="351"/>
          <w:jc w:val="center"/>
        </w:trPr>
        <w:tc>
          <w:tcPr>
            <w:tcW w:w="1843" w:type="dxa"/>
            <w:vAlign w:val="center"/>
          </w:tcPr>
          <w:p w:rsidR="009E5F50" w:rsidRPr="00C54227" w:rsidRDefault="009E5F50" w:rsidP="009E5F50">
            <w:pPr>
              <w:suppressLineNumbers/>
              <w:jc w:val="right"/>
              <w:rPr>
                <w:rFonts w:ascii="Cambria" w:hAnsi="Cambria"/>
                <w:caps/>
                <w:sz w:val="21"/>
                <w:szCs w:val="21"/>
              </w:rPr>
            </w:pPr>
            <w:r w:rsidRPr="00C54227">
              <w:rPr>
                <w:rFonts w:ascii="Cambria" w:hAnsi="Cambria"/>
                <w:caps/>
                <w:sz w:val="21"/>
                <w:szCs w:val="21"/>
              </w:rPr>
              <w:t>Interessado:</w:t>
            </w:r>
          </w:p>
        </w:tc>
        <w:tc>
          <w:tcPr>
            <w:tcW w:w="7796" w:type="dxa"/>
            <w:vAlign w:val="center"/>
          </w:tcPr>
          <w:p w:rsidR="009E5F50" w:rsidRPr="00A23C09" w:rsidRDefault="007B22DC" w:rsidP="007B22DC">
            <w:pPr>
              <w:suppressLineNumbers/>
              <w:rPr>
                <w:rFonts w:ascii="Cambria" w:hAnsi="Cambria"/>
              </w:rPr>
            </w:pPr>
            <w:r>
              <w:rPr>
                <w:rFonts w:ascii="Cambria" w:hAnsi="Cambria"/>
              </w:rPr>
              <w:t xml:space="preserve">Gerência de Fiscalização do </w:t>
            </w:r>
            <w:r w:rsidR="009E5F50">
              <w:rPr>
                <w:rFonts w:ascii="Cambria" w:hAnsi="Cambria"/>
              </w:rPr>
              <w:t>CAU/MG</w:t>
            </w:r>
          </w:p>
        </w:tc>
      </w:tr>
      <w:tr w:rsidR="007C7EAE" w:rsidRPr="007C7EAE" w:rsidTr="00C54227">
        <w:trPr>
          <w:trHeight w:val="351"/>
          <w:jc w:val="center"/>
        </w:trPr>
        <w:tc>
          <w:tcPr>
            <w:tcW w:w="1843" w:type="dxa"/>
            <w:vAlign w:val="center"/>
          </w:tcPr>
          <w:p w:rsidR="009E5F50" w:rsidRPr="007C7EAE" w:rsidRDefault="009E5F50" w:rsidP="009E5F50">
            <w:pPr>
              <w:suppressLineNumbers/>
              <w:jc w:val="right"/>
              <w:rPr>
                <w:rFonts w:ascii="Cambria" w:hAnsi="Cambria"/>
                <w:caps/>
                <w:sz w:val="21"/>
                <w:szCs w:val="21"/>
              </w:rPr>
            </w:pPr>
            <w:r w:rsidRPr="007C7EAE">
              <w:rPr>
                <w:rFonts w:ascii="Cambria" w:hAnsi="Cambria"/>
                <w:caps/>
                <w:sz w:val="21"/>
                <w:szCs w:val="21"/>
              </w:rPr>
              <w:t>referência:</w:t>
            </w:r>
          </w:p>
        </w:tc>
        <w:tc>
          <w:tcPr>
            <w:tcW w:w="7796" w:type="dxa"/>
            <w:vAlign w:val="center"/>
          </w:tcPr>
          <w:p w:rsidR="009E5F50" w:rsidRPr="007C7EAE" w:rsidRDefault="007C7EAE" w:rsidP="009E5F50">
            <w:pPr>
              <w:suppressLineNumbers/>
              <w:rPr>
                <w:rFonts w:ascii="Cambria" w:hAnsi="Cambria"/>
              </w:rPr>
            </w:pPr>
            <w:r w:rsidRPr="007C7EAE">
              <w:rPr>
                <w:rFonts w:ascii="Cambria" w:hAnsi="Cambria"/>
              </w:rPr>
              <w:t>Deliberação nº 043/2015 da CEP-CAU/BR</w:t>
            </w:r>
          </w:p>
        </w:tc>
      </w:tr>
      <w:tr w:rsidR="009E5F50" w:rsidRPr="00A107F9" w:rsidTr="00C54227">
        <w:trPr>
          <w:trHeight w:val="351"/>
          <w:jc w:val="center"/>
        </w:trPr>
        <w:tc>
          <w:tcPr>
            <w:tcW w:w="1843" w:type="dxa"/>
            <w:vAlign w:val="center"/>
          </w:tcPr>
          <w:p w:rsidR="009E5F50" w:rsidRPr="00C54227" w:rsidRDefault="009E5F50" w:rsidP="009E5F50">
            <w:pPr>
              <w:suppressLineNumbers/>
              <w:jc w:val="right"/>
              <w:rPr>
                <w:rFonts w:ascii="Cambria" w:hAnsi="Cambria"/>
                <w:caps/>
                <w:sz w:val="21"/>
                <w:szCs w:val="21"/>
              </w:rPr>
            </w:pPr>
            <w:r w:rsidRPr="00C54227">
              <w:rPr>
                <w:rFonts w:ascii="Cambria" w:hAnsi="Cambria"/>
                <w:caps/>
                <w:sz w:val="21"/>
                <w:szCs w:val="21"/>
              </w:rPr>
              <w:t>data:</w:t>
            </w:r>
          </w:p>
        </w:tc>
        <w:tc>
          <w:tcPr>
            <w:tcW w:w="7796" w:type="dxa"/>
            <w:vAlign w:val="center"/>
          </w:tcPr>
          <w:p w:rsidR="009E5F50" w:rsidRPr="00A23C09" w:rsidRDefault="007C7EAE" w:rsidP="007C7EAE">
            <w:pPr>
              <w:suppressLineNumbers/>
              <w:rPr>
                <w:rFonts w:ascii="Cambria" w:hAnsi="Cambria"/>
              </w:rPr>
            </w:pPr>
            <w:r>
              <w:rPr>
                <w:rFonts w:ascii="Cambria" w:hAnsi="Cambria"/>
              </w:rPr>
              <w:t>18/07/</w:t>
            </w:r>
            <w:r w:rsidRPr="007C7EAE">
              <w:rPr>
                <w:rFonts w:ascii="Cambria" w:hAnsi="Cambria"/>
              </w:rPr>
              <w:t>2016</w:t>
            </w:r>
          </w:p>
        </w:tc>
      </w:tr>
    </w:tbl>
    <w:p w:rsidR="00F620A7" w:rsidRPr="009270A4" w:rsidRDefault="00F620A7" w:rsidP="00C54227">
      <w:pPr>
        <w:suppressLineNumbers/>
        <w:spacing w:after="0" w:line="240" w:lineRule="auto"/>
        <w:jc w:val="both"/>
        <w:rPr>
          <w:rFonts w:ascii="Cambria" w:hAnsi="Cambria"/>
        </w:rPr>
      </w:pPr>
    </w:p>
    <w:p w:rsidR="00394E58" w:rsidRPr="009270A4" w:rsidRDefault="00A66A38" w:rsidP="00A63C72">
      <w:pPr>
        <w:suppressLineNumbers/>
        <w:spacing w:line="276" w:lineRule="auto"/>
        <w:jc w:val="both"/>
        <w:rPr>
          <w:rFonts w:ascii="Cambria" w:hAnsi="Cambria"/>
          <w:b/>
        </w:rPr>
      </w:pPr>
      <w:r w:rsidRPr="009270A4">
        <w:rPr>
          <w:rFonts w:ascii="Cambria" w:hAnsi="Cambria"/>
          <w:b/>
        </w:rPr>
        <w:t>RELATÓRIO</w:t>
      </w:r>
    </w:p>
    <w:p w:rsidR="007C7EAE" w:rsidRDefault="00394E58" w:rsidP="00D47835">
      <w:pPr>
        <w:suppressLineNumbers/>
        <w:spacing w:line="276" w:lineRule="auto"/>
        <w:ind w:left="284"/>
        <w:jc w:val="both"/>
        <w:rPr>
          <w:rFonts w:ascii="Cambria" w:hAnsi="Cambria"/>
        </w:rPr>
      </w:pPr>
      <w:r w:rsidRPr="009270A4">
        <w:rPr>
          <w:rFonts w:ascii="Cambria" w:hAnsi="Cambria"/>
        </w:rPr>
        <w:t>Trata-se de</w:t>
      </w:r>
      <w:r w:rsidR="002A523F" w:rsidRPr="009270A4">
        <w:rPr>
          <w:rFonts w:ascii="Cambria" w:hAnsi="Cambria"/>
        </w:rPr>
        <w:t xml:space="preserve"> </w:t>
      </w:r>
      <w:r w:rsidR="000B2351">
        <w:rPr>
          <w:rFonts w:ascii="Cambria" w:hAnsi="Cambria"/>
        </w:rPr>
        <w:t>fixação</w:t>
      </w:r>
      <w:r w:rsidR="002A523F" w:rsidRPr="009270A4">
        <w:rPr>
          <w:rFonts w:ascii="Cambria" w:hAnsi="Cambria"/>
        </w:rPr>
        <w:t xml:space="preserve"> d</w:t>
      </w:r>
      <w:r w:rsidR="00AF24C1">
        <w:rPr>
          <w:rFonts w:ascii="Cambria" w:hAnsi="Cambria"/>
        </w:rPr>
        <w:t>os</w:t>
      </w:r>
      <w:r w:rsidR="002A523F" w:rsidRPr="009270A4">
        <w:rPr>
          <w:rFonts w:ascii="Cambria" w:hAnsi="Cambria"/>
        </w:rPr>
        <w:t xml:space="preserve"> parâmetros</w:t>
      </w:r>
      <w:r w:rsidR="007C7EAE">
        <w:rPr>
          <w:rFonts w:ascii="Cambria" w:hAnsi="Cambria"/>
        </w:rPr>
        <w:t xml:space="preserve"> </w:t>
      </w:r>
      <w:r w:rsidR="00AF24C1">
        <w:rPr>
          <w:rFonts w:ascii="Cambria" w:hAnsi="Cambria"/>
        </w:rPr>
        <w:t>de</w:t>
      </w:r>
      <w:r w:rsidR="007C7EAE">
        <w:rPr>
          <w:rFonts w:ascii="Cambria" w:hAnsi="Cambria"/>
        </w:rPr>
        <w:t xml:space="preserve"> </w:t>
      </w:r>
      <w:r w:rsidR="00AF24C1">
        <w:rPr>
          <w:rFonts w:ascii="Cambria" w:hAnsi="Cambria"/>
        </w:rPr>
        <w:t xml:space="preserve">expedição de multas em processos de </w:t>
      </w:r>
      <w:r w:rsidR="000B2351">
        <w:rPr>
          <w:rFonts w:ascii="Cambria" w:hAnsi="Cambria"/>
        </w:rPr>
        <w:t xml:space="preserve">fiscalização e definição do momento processual de envio do boleto bancário referente à multa ao administrado. </w:t>
      </w:r>
      <w:r w:rsidR="00AF24C1">
        <w:rPr>
          <w:rFonts w:ascii="Cambria" w:hAnsi="Cambria"/>
        </w:rPr>
        <w:t xml:space="preserve"> </w:t>
      </w:r>
    </w:p>
    <w:p w:rsidR="00394E58" w:rsidRPr="009270A4" w:rsidRDefault="00394E58" w:rsidP="002A523F">
      <w:pPr>
        <w:suppressLineNumbers/>
        <w:spacing w:after="0" w:line="276" w:lineRule="auto"/>
        <w:jc w:val="both"/>
        <w:rPr>
          <w:rFonts w:ascii="Cambria" w:hAnsi="Cambria"/>
          <w:b/>
        </w:rPr>
      </w:pPr>
    </w:p>
    <w:p w:rsidR="00A66A38" w:rsidRPr="009270A4" w:rsidRDefault="00394E58" w:rsidP="00D47835">
      <w:pPr>
        <w:suppressLineNumbers/>
        <w:spacing w:line="276" w:lineRule="auto"/>
        <w:jc w:val="both"/>
        <w:rPr>
          <w:rFonts w:ascii="Cambria" w:hAnsi="Cambria"/>
          <w:b/>
        </w:rPr>
      </w:pPr>
      <w:r w:rsidRPr="009270A4">
        <w:rPr>
          <w:rFonts w:ascii="Cambria" w:hAnsi="Cambria"/>
          <w:b/>
        </w:rPr>
        <w:t>FUNDAMENTAÇÃO LEGAL</w:t>
      </w:r>
    </w:p>
    <w:p w:rsidR="00A66A38" w:rsidRPr="00603AD9" w:rsidRDefault="00D47835" w:rsidP="00D47835">
      <w:pPr>
        <w:suppressLineNumbers/>
        <w:spacing w:line="276" w:lineRule="auto"/>
        <w:ind w:left="284"/>
        <w:jc w:val="both"/>
        <w:rPr>
          <w:rFonts w:ascii="Cambria" w:hAnsi="Cambria"/>
        </w:rPr>
      </w:pPr>
      <w:r w:rsidRPr="00603AD9">
        <w:rPr>
          <w:rFonts w:ascii="Cambria" w:hAnsi="Cambria"/>
        </w:rPr>
        <w:t xml:space="preserve">Lei </w:t>
      </w:r>
      <w:r w:rsidR="006547B5" w:rsidRPr="00603AD9">
        <w:rPr>
          <w:rFonts w:ascii="Cambria" w:hAnsi="Cambria"/>
        </w:rPr>
        <w:t xml:space="preserve">Federal </w:t>
      </w:r>
      <w:r w:rsidRPr="00603AD9">
        <w:rPr>
          <w:rFonts w:ascii="Cambria" w:hAnsi="Cambria"/>
        </w:rPr>
        <w:t xml:space="preserve">nº 12.378, de 31 de dezembro de 2010, que regulamenta o exercício da Arquitetura e Urbanismo; cria o Conselho de Arquitetura e Urbanismo do Brasil - CAU/BR e os Conselhos de Arquitetura e Urbanismo dos Estados e do Distrito Federal - </w:t>
      </w:r>
      <w:proofErr w:type="spellStart"/>
      <w:r w:rsidRPr="00603AD9">
        <w:rPr>
          <w:rFonts w:ascii="Cambria" w:hAnsi="Cambria"/>
        </w:rPr>
        <w:t>CAUs</w:t>
      </w:r>
      <w:proofErr w:type="spellEnd"/>
      <w:r w:rsidRPr="00603AD9">
        <w:rPr>
          <w:rFonts w:ascii="Cambria" w:hAnsi="Cambria"/>
        </w:rPr>
        <w:t>; e dá outras providências;</w:t>
      </w:r>
    </w:p>
    <w:p w:rsidR="00D47835" w:rsidRDefault="00D47835" w:rsidP="00D47835">
      <w:pPr>
        <w:suppressLineNumbers/>
        <w:spacing w:line="276" w:lineRule="auto"/>
        <w:ind w:left="284"/>
        <w:jc w:val="both"/>
        <w:rPr>
          <w:rFonts w:ascii="Cambria" w:hAnsi="Cambria"/>
        </w:rPr>
      </w:pPr>
      <w:r w:rsidRPr="00603AD9">
        <w:rPr>
          <w:rFonts w:ascii="Cambria" w:hAnsi="Cambria"/>
        </w:rPr>
        <w:t xml:space="preserve">Resolução nº </w:t>
      </w:r>
      <w:r w:rsidR="00603AD9">
        <w:rPr>
          <w:rFonts w:ascii="Cambria" w:hAnsi="Cambria"/>
        </w:rPr>
        <w:t xml:space="preserve">22 </w:t>
      </w:r>
      <w:r w:rsidR="00480CAC" w:rsidRPr="00603AD9">
        <w:rPr>
          <w:rFonts w:ascii="Cambria" w:hAnsi="Cambria"/>
        </w:rPr>
        <w:t>do CAU/BR</w:t>
      </w:r>
      <w:r w:rsidRPr="00603AD9">
        <w:rPr>
          <w:rFonts w:ascii="Cambria" w:hAnsi="Cambria"/>
        </w:rPr>
        <w:t>, de 0</w:t>
      </w:r>
      <w:r w:rsidR="00603AD9">
        <w:rPr>
          <w:rFonts w:ascii="Cambria" w:hAnsi="Cambria"/>
        </w:rPr>
        <w:t xml:space="preserve">4 </w:t>
      </w:r>
      <w:r w:rsidRPr="00603AD9">
        <w:rPr>
          <w:rFonts w:ascii="Cambria" w:hAnsi="Cambria"/>
        </w:rPr>
        <w:t xml:space="preserve">de </w:t>
      </w:r>
      <w:r w:rsidR="00603AD9">
        <w:rPr>
          <w:rFonts w:ascii="Cambria" w:hAnsi="Cambria"/>
        </w:rPr>
        <w:t>maio</w:t>
      </w:r>
      <w:r w:rsidRPr="00603AD9">
        <w:rPr>
          <w:rFonts w:ascii="Cambria" w:hAnsi="Cambria"/>
        </w:rPr>
        <w:t xml:space="preserve"> de 201</w:t>
      </w:r>
      <w:r w:rsidR="00603AD9">
        <w:rPr>
          <w:rFonts w:ascii="Cambria" w:hAnsi="Cambria"/>
        </w:rPr>
        <w:t>2</w:t>
      </w:r>
      <w:r w:rsidRPr="00603AD9">
        <w:rPr>
          <w:rFonts w:ascii="Cambria" w:hAnsi="Cambria"/>
        </w:rPr>
        <w:t xml:space="preserve">, que </w:t>
      </w:r>
      <w:r w:rsidR="00603AD9" w:rsidRPr="00603AD9">
        <w:rPr>
          <w:rFonts w:ascii="Cambria" w:hAnsi="Cambria"/>
        </w:rPr>
        <w:t>sobre a fiscalização do exercício profissional da Arquitetura e Urbanismo, os procedimentos para formalização, instrução e julgamento de processos por infração à legislação e a aplicação de penalidades, e dá outras providências.</w:t>
      </w:r>
    </w:p>
    <w:p w:rsidR="00603AD9" w:rsidRPr="00603AD9" w:rsidRDefault="000B2351" w:rsidP="00D47835">
      <w:pPr>
        <w:suppressLineNumbers/>
        <w:spacing w:line="276" w:lineRule="auto"/>
        <w:ind w:left="284"/>
        <w:jc w:val="both"/>
        <w:rPr>
          <w:rFonts w:ascii="Cambria" w:hAnsi="Cambria"/>
        </w:rPr>
      </w:pPr>
      <w:r>
        <w:rPr>
          <w:rFonts w:ascii="Cambria" w:hAnsi="Cambria"/>
        </w:rPr>
        <w:t xml:space="preserve">Deliberação nº </w:t>
      </w:r>
      <w:r w:rsidR="00603AD9" w:rsidRPr="007C7EAE">
        <w:rPr>
          <w:rFonts w:ascii="Cambria" w:hAnsi="Cambria"/>
        </w:rPr>
        <w:t>43</w:t>
      </w:r>
      <w:r w:rsidR="00603AD9">
        <w:rPr>
          <w:rFonts w:ascii="Cambria" w:hAnsi="Cambria"/>
        </w:rPr>
        <w:t xml:space="preserve"> </w:t>
      </w:r>
      <w:r w:rsidR="00603AD9" w:rsidRPr="007C7EAE">
        <w:rPr>
          <w:rFonts w:ascii="Cambria" w:hAnsi="Cambria"/>
        </w:rPr>
        <w:t>da CEP-CAU/BR</w:t>
      </w:r>
      <w:r w:rsidR="00603AD9">
        <w:rPr>
          <w:rFonts w:ascii="Cambria" w:hAnsi="Cambria"/>
        </w:rPr>
        <w:t xml:space="preserve">, de </w:t>
      </w:r>
      <w:r w:rsidR="00AF24C1">
        <w:rPr>
          <w:rFonts w:ascii="Cambria" w:hAnsi="Cambria"/>
        </w:rPr>
        <w:t>04 de dezembro de 2015, que dispõe sobre a padronização</w:t>
      </w:r>
      <w:r w:rsidR="00AF24C1" w:rsidRPr="00AF24C1">
        <w:rPr>
          <w:rFonts w:ascii="Cambria" w:hAnsi="Cambria"/>
        </w:rPr>
        <w:t xml:space="preserve"> </w:t>
      </w:r>
      <w:r w:rsidR="00AF24C1">
        <w:rPr>
          <w:rFonts w:ascii="Cambria" w:hAnsi="Cambria"/>
        </w:rPr>
        <w:t>dos procedimentos para recebimento dos processos de fiscalização em grau de recurso ao CAU/BR.</w:t>
      </w:r>
    </w:p>
    <w:p w:rsidR="00D47835" w:rsidRPr="009270A4" w:rsidRDefault="00D47835" w:rsidP="002A523F">
      <w:pPr>
        <w:suppressLineNumbers/>
        <w:spacing w:after="0" w:line="276" w:lineRule="auto"/>
        <w:jc w:val="both"/>
        <w:rPr>
          <w:rFonts w:ascii="Cambria" w:hAnsi="Cambria"/>
          <w:b/>
        </w:rPr>
      </w:pPr>
    </w:p>
    <w:p w:rsidR="00A66A38" w:rsidRPr="009270A4" w:rsidRDefault="00A66A38" w:rsidP="009270A4">
      <w:pPr>
        <w:suppressLineNumbers/>
        <w:spacing w:line="276" w:lineRule="auto"/>
        <w:jc w:val="both"/>
        <w:rPr>
          <w:rFonts w:ascii="Cambria" w:hAnsi="Cambria"/>
          <w:b/>
        </w:rPr>
      </w:pPr>
      <w:r w:rsidRPr="009270A4">
        <w:rPr>
          <w:rFonts w:ascii="Cambria" w:hAnsi="Cambria"/>
          <w:b/>
        </w:rPr>
        <w:t>FUNDAMENTAÇÃO TEMÁTICA</w:t>
      </w:r>
    </w:p>
    <w:p w:rsidR="00A52B76" w:rsidRPr="0096380A" w:rsidRDefault="006547B5" w:rsidP="0096380A">
      <w:pPr>
        <w:suppressLineNumbers/>
        <w:spacing w:line="276" w:lineRule="auto"/>
        <w:ind w:left="284"/>
        <w:jc w:val="both"/>
        <w:rPr>
          <w:rFonts w:ascii="Cambria" w:hAnsi="Cambria"/>
        </w:rPr>
      </w:pPr>
      <w:r w:rsidRPr="0096380A">
        <w:rPr>
          <w:rFonts w:ascii="Cambria" w:hAnsi="Cambria"/>
        </w:rPr>
        <w:t xml:space="preserve">Considerando o </w:t>
      </w:r>
      <w:r w:rsidR="0096380A" w:rsidRPr="0096380A">
        <w:rPr>
          <w:rFonts w:ascii="Cambria" w:hAnsi="Cambria"/>
        </w:rPr>
        <w:t xml:space="preserve">inciso VII </w:t>
      </w:r>
      <w:r w:rsidR="000B2351" w:rsidRPr="0096380A">
        <w:rPr>
          <w:rFonts w:ascii="Cambria" w:hAnsi="Cambria"/>
        </w:rPr>
        <w:t>do Art. 3</w:t>
      </w:r>
      <w:r w:rsidR="0096380A" w:rsidRPr="0096380A">
        <w:rPr>
          <w:rFonts w:ascii="Cambria" w:hAnsi="Cambria"/>
        </w:rPr>
        <w:t>4</w:t>
      </w:r>
      <w:r w:rsidR="000B2351" w:rsidRPr="0096380A">
        <w:rPr>
          <w:rFonts w:ascii="Cambria" w:hAnsi="Cambria"/>
        </w:rPr>
        <w:t xml:space="preserve"> d</w:t>
      </w:r>
      <w:r w:rsidRPr="0096380A">
        <w:rPr>
          <w:rFonts w:ascii="Cambria" w:hAnsi="Cambria"/>
        </w:rPr>
        <w:t xml:space="preserve">a Lei Federal nº 12.378/2010, </w:t>
      </w:r>
      <w:r w:rsidR="0096380A" w:rsidRPr="0096380A">
        <w:rPr>
          <w:rFonts w:ascii="Cambria" w:hAnsi="Cambria"/>
        </w:rPr>
        <w:t>onde se determina que é dos CAU/UF a competência de “</w:t>
      </w:r>
      <w:r w:rsidR="0096380A" w:rsidRPr="0096380A">
        <w:rPr>
          <w:rFonts w:ascii="Cambria" w:hAnsi="Cambria"/>
          <w:i/>
        </w:rPr>
        <w:t>cobrar as anuidades, as multas e os Registros de Responsabilidade Técnica”</w:t>
      </w:r>
      <w:r w:rsidR="0096380A" w:rsidRPr="0096380A">
        <w:rPr>
          <w:rFonts w:ascii="Cambria" w:hAnsi="Cambria"/>
        </w:rPr>
        <w:t>;</w:t>
      </w:r>
    </w:p>
    <w:p w:rsidR="0096380A" w:rsidRPr="0096380A" w:rsidRDefault="0096380A" w:rsidP="0096380A">
      <w:pPr>
        <w:suppressLineNumbers/>
        <w:spacing w:line="276" w:lineRule="auto"/>
        <w:ind w:left="284"/>
        <w:jc w:val="both"/>
        <w:rPr>
          <w:rFonts w:ascii="Cambria" w:hAnsi="Cambria"/>
        </w:rPr>
      </w:pPr>
      <w:r w:rsidRPr="0096380A">
        <w:rPr>
          <w:rFonts w:ascii="Cambria" w:hAnsi="Cambria"/>
        </w:rPr>
        <w:t>Considerando o inciso VIII do Art. 34 da Lei Federal nº 12.378/2010, que outorga aos CAU/UF a competência de “</w:t>
      </w:r>
      <w:r w:rsidRPr="0096380A">
        <w:rPr>
          <w:rFonts w:ascii="Cambria" w:hAnsi="Cambria"/>
          <w:i/>
        </w:rPr>
        <w:t>fiscalizar o exercício das atividades profissionais de arquitetura e urbanismo</w:t>
      </w:r>
      <w:r w:rsidRPr="0096380A">
        <w:rPr>
          <w:rFonts w:ascii="Cambria" w:hAnsi="Cambria"/>
        </w:rPr>
        <w:t>”;</w:t>
      </w:r>
    </w:p>
    <w:p w:rsidR="00A52B76" w:rsidRDefault="00A52B76" w:rsidP="0083651E">
      <w:pPr>
        <w:suppressLineNumbers/>
        <w:spacing w:line="276" w:lineRule="auto"/>
        <w:ind w:left="284"/>
        <w:jc w:val="both"/>
        <w:rPr>
          <w:rFonts w:ascii="Cambria" w:hAnsi="Cambria"/>
        </w:rPr>
      </w:pPr>
      <w:r w:rsidRPr="0083651E">
        <w:rPr>
          <w:rFonts w:ascii="Cambria" w:hAnsi="Cambria"/>
        </w:rPr>
        <w:t xml:space="preserve">Considerando o </w:t>
      </w:r>
      <w:r w:rsidR="0083651E" w:rsidRPr="0083651E">
        <w:rPr>
          <w:rFonts w:ascii="Cambria" w:hAnsi="Cambria"/>
        </w:rPr>
        <w:t xml:space="preserve">disposto no </w:t>
      </w:r>
      <w:r w:rsidRPr="0083651E">
        <w:rPr>
          <w:rFonts w:ascii="Cambria" w:hAnsi="Cambria"/>
        </w:rPr>
        <w:t xml:space="preserve">Art. </w:t>
      </w:r>
      <w:r w:rsidR="0083651E" w:rsidRPr="0083651E">
        <w:rPr>
          <w:rFonts w:ascii="Cambria" w:hAnsi="Cambria"/>
        </w:rPr>
        <w:t>35</w:t>
      </w:r>
      <w:r w:rsidRPr="0083651E">
        <w:rPr>
          <w:rFonts w:ascii="Cambria" w:hAnsi="Cambria"/>
        </w:rPr>
        <w:t xml:space="preserve"> da Resolução nº </w:t>
      </w:r>
      <w:r w:rsidR="0083651E" w:rsidRPr="0083651E">
        <w:rPr>
          <w:rFonts w:ascii="Cambria" w:hAnsi="Cambria"/>
        </w:rPr>
        <w:t>22</w:t>
      </w:r>
      <w:r w:rsidRPr="0083651E">
        <w:rPr>
          <w:rFonts w:ascii="Cambria" w:hAnsi="Cambria"/>
        </w:rPr>
        <w:t>/201</w:t>
      </w:r>
      <w:r w:rsidR="0083651E" w:rsidRPr="0083651E">
        <w:rPr>
          <w:rFonts w:ascii="Cambria" w:hAnsi="Cambria"/>
        </w:rPr>
        <w:t>2</w:t>
      </w:r>
      <w:r w:rsidRPr="0083651E">
        <w:rPr>
          <w:rFonts w:ascii="Cambria" w:hAnsi="Cambria"/>
        </w:rPr>
        <w:t>, que</w:t>
      </w:r>
      <w:r w:rsidR="009270A4" w:rsidRPr="0083651E">
        <w:rPr>
          <w:rFonts w:ascii="Cambria" w:hAnsi="Cambria"/>
        </w:rPr>
        <w:t xml:space="preserve"> </w:t>
      </w:r>
      <w:r w:rsidR="0083651E" w:rsidRPr="0083651E">
        <w:rPr>
          <w:rFonts w:ascii="Cambria" w:hAnsi="Cambria"/>
        </w:rPr>
        <w:t xml:space="preserve">fixa </w:t>
      </w:r>
      <w:r w:rsidR="007875DD">
        <w:rPr>
          <w:rFonts w:ascii="Cambria" w:hAnsi="Cambria"/>
        </w:rPr>
        <w:t xml:space="preserve">em </w:t>
      </w:r>
      <w:r w:rsidR="0083651E" w:rsidRPr="0083651E">
        <w:rPr>
          <w:rFonts w:ascii="Cambria" w:hAnsi="Cambria"/>
        </w:rPr>
        <w:t>seus incisos os valores de multas para as infrações ao exercício profissional e, à exceção do inciso IV (</w:t>
      </w:r>
      <w:r w:rsidR="0083651E" w:rsidRPr="0083651E">
        <w:rPr>
          <w:rFonts w:ascii="Cambria" w:hAnsi="Cambria"/>
          <w:i/>
        </w:rPr>
        <w:t>“Arquiteto e urbanista com registro no CAU regular exercendo atividade fiscalizada sem ter feito o devido RRT; [...] Valor da Multa: 300% (trezentos por cento) do valor vigente da taxa do RRT”)</w:t>
      </w:r>
      <w:r w:rsidR="0083651E">
        <w:rPr>
          <w:rFonts w:ascii="Cambria" w:hAnsi="Cambria"/>
          <w:i/>
        </w:rPr>
        <w:t xml:space="preserve">, </w:t>
      </w:r>
      <w:r w:rsidR="0083651E">
        <w:rPr>
          <w:rFonts w:ascii="Cambria" w:hAnsi="Cambria"/>
        </w:rPr>
        <w:t xml:space="preserve">não há predefinição das importâncias a serem cobradas, mas antes, apenas a indicação dos valores mínimos e máximos, e ainda que é competência da instância julgadora (no caso a CEP-CAU/MG) </w:t>
      </w:r>
      <w:r w:rsidR="00486864">
        <w:rPr>
          <w:rFonts w:ascii="Cambria" w:hAnsi="Cambria"/>
        </w:rPr>
        <w:t>o julgamento e definiçã</w:t>
      </w:r>
      <w:bookmarkStart w:id="0" w:name="_GoBack"/>
      <w:bookmarkEnd w:id="0"/>
      <w:r w:rsidR="00486864">
        <w:rPr>
          <w:rFonts w:ascii="Cambria" w:hAnsi="Cambria"/>
        </w:rPr>
        <w:t>o desses valores.</w:t>
      </w:r>
      <w:r w:rsidR="0083651E">
        <w:rPr>
          <w:rFonts w:ascii="Cambria" w:hAnsi="Cambria"/>
        </w:rPr>
        <w:t xml:space="preserve"> </w:t>
      </w:r>
    </w:p>
    <w:p w:rsidR="00C70311" w:rsidRPr="0096380A" w:rsidRDefault="00C70311" w:rsidP="00C70311">
      <w:pPr>
        <w:suppressLineNumbers/>
        <w:spacing w:line="276" w:lineRule="auto"/>
        <w:ind w:left="284"/>
        <w:jc w:val="both"/>
        <w:rPr>
          <w:rFonts w:ascii="Cambria" w:hAnsi="Cambria"/>
        </w:rPr>
      </w:pPr>
      <w:r w:rsidRPr="0096380A">
        <w:rPr>
          <w:rFonts w:ascii="Cambria" w:hAnsi="Cambria"/>
        </w:rPr>
        <w:t xml:space="preserve">Considerando </w:t>
      </w:r>
      <w:r>
        <w:rPr>
          <w:rFonts w:ascii="Cambria" w:hAnsi="Cambria"/>
        </w:rPr>
        <w:t xml:space="preserve">que os Artigos 15 e 16 da </w:t>
      </w:r>
      <w:r w:rsidRPr="00C70311">
        <w:rPr>
          <w:rFonts w:ascii="Cambria" w:hAnsi="Cambria"/>
        </w:rPr>
        <w:t>Resolução nº 22/2012</w:t>
      </w:r>
      <w:r>
        <w:rPr>
          <w:rFonts w:ascii="Cambria" w:hAnsi="Cambria"/>
        </w:rPr>
        <w:t>, que dispõem sobre o auto de infração, mencionam que tal documento deve constar o valor da multa (</w:t>
      </w:r>
      <w:r w:rsidRPr="0096380A">
        <w:rPr>
          <w:rFonts w:ascii="Cambria" w:hAnsi="Cambria"/>
        </w:rPr>
        <w:t>inciso V</w:t>
      </w:r>
      <w:r>
        <w:rPr>
          <w:rFonts w:ascii="Cambria" w:hAnsi="Cambria"/>
        </w:rPr>
        <w:t xml:space="preserve"> do Art. 16), mas não expressam que o boleto referente à mesma deve ser emitido nesta etapa</w:t>
      </w:r>
      <w:r w:rsidRPr="0096380A">
        <w:rPr>
          <w:rFonts w:ascii="Cambria" w:hAnsi="Cambria"/>
        </w:rPr>
        <w:t>;</w:t>
      </w:r>
    </w:p>
    <w:p w:rsidR="00711847" w:rsidRPr="002A4F73" w:rsidRDefault="00711847" w:rsidP="0083651E">
      <w:pPr>
        <w:suppressLineNumbers/>
        <w:spacing w:line="276" w:lineRule="auto"/>
        <w:ind w:left="284"/>
        <w:jc w:val="both"/>
        <w:rPr>
          <w:rFonts w:ascii="Cambria" w:hAnsi="Cambria"/>
        </w:rPr>
      </w:pPr>
      <w:r w:rsidRPr="002A4F73">
        <w:rPr>
          <w:rFonts w:ascii="Cambria" w:hAnsi="Cambria"/>
        </w:rPr>
        <w:t>Considerando o fluxograma aprovado pela Deliberação nº 43/2015</w:t>
      </w:r>
      <w:r w:rsidR="002A4F73" w:rsidRPr="002A4F73">
        <w:rPr>
          <w:rFonts w:ascii="Cambria" w:hAnsi="Cambria"/>
        </w:rPr>
        <w:t xml:space="preserve"> da CEP-CAU/BR inova ao expressar que a Resolução nº 22, Art. 15 e 16 expressam a emissão de multa junto ao Auto de </w:t>
      </w:r>
      <w:r w:rsidR="002A4F73" w:rsidRPr="002A4F73">
        <w:rPr>
          <w:rFonts w:ascii="Cambria" w:hAnsi="Cambria"/>
        </w:rPr>
        <w:lastRenderedPageBreak/>
        <w:t xml:space="preserve">Infração, e </w:t>
      </w:r>
      <w:r w:rsidR="002A4F73" w:rsidRPr="00766DEE">
        <w:rPr>
          <w:rFonts w:ascii="Cambria" w:hAnsi="Cambria"/>
        </w:rPr>
        <w:t xml:space="preserve">não apenas a menção aos valores possíveis, e, ainda mais, deixa claro que, nesta etapa, as manifestações possíveis pelo autuado são a regularização OU a apresentação de recurso à CEP-CAU/UF, </w:t>
      </w:r>
      <w:r w:rsidR="00766DEE" w:rsidRPr="00766DEE">
        <w:rPr>
          <w:rFonts w:ascii="Cambria" w:hAnsi="Cambria"/>
        </w:rPr>
        <w:t xml:space="preserve">situação sustentada pelo Artigo 19 da Resolução </w:t>
      </w:r>
      <w:r w:rsidR="00766DEE" w:rsidRPr="002A4F73">
        <w:rPr>
          <w:rFonts w:ascii="Cambria" w:hAnsi="Cambria"/>
        </w:rPr>
        <w:t>nº 22</w:t>
      </w:r>
      <w:r w:rsidR="00766DEE">
        <w:rPr>
          <w:rFonts w:ascii="Cambria" w:hAnsi="Cambria"/>
        </w:rPr>
        <w:t>;</w:t>
      </w:r>
    </w:p>
    <w:p w:rsidR="00C70311" w:rsidRPr="00C70311" w:rsidRDefault="00C70311" w:rsidP="00C70311">
      <w:pPr>
        <w:suppressLineNumbers/>
        <w:spacing w:line="276" w:lineRule="auto"/>
        <w:ind w:left="284"/>
        <w:jc w:val="both"/>
        <w:rPr>
          <w:rFonts w:ascii="Cambria" w:hAnsi="Cambria"/>
        </w:rPr>
      </w:pPr>
      <w:r w:rsidRPr="00C70311">
        <w:rPr>
          <w:rFonts w:ascii="Cambria" w:hAnsi="Cambria"/>
        </w:rPr>
        <w:t xml:space="preserve">Considerando que o fluxograma supracitado é claro ao expressar que o julgamento pela manutenção do Auto de Infração e da multa, de atribuição da CEP-CAU/MG, constitui etapa </w:t>
      </w:r>
      <w:r w:rsidR="002A4F73">
        <w:rPr>
          <w:rFonts w:ascii="Cambria" w:hAnsi="Cambria"/>
        </w:rPr>
        <w:t>posterior</w:t>
      </w:r>
      <w:r w:rsidRPr="00C70311">
        <w:rPr>
          <w:rFonts w:ascii="Cambria" w:hAnsi="Cambria"/>
        </w:rPr>
        <w:t xml:space="preserve"> à</w:t>
      </w:r>
      <w:r w:rsidR="002A4F73">
        <w:rPr>
          <w:rFonts w:ascii="Cambria" w:hAnsi="Cambria"/>
        </w:rPr>
        <w:t>quela</w:t>
      </w:r>
      <w:r w:rsidRPr="00C70311">
        <w:rPr>
          <w:rFonts w:ascii="Cambria" w:hAnsi="Cambria"/>
        </w:rPr>
        <w:t>s instruídas pelos Agentes de Fiscalização</w:t>
      </w:r>
      <w:r>
        <w:rPr>
          <w:rFonts w:ascii="Cambria" w:hAnsi="Cambria"/>
        </w:rPr>
        <w:t xml:space="preserve">, e, portanto, os atos destes estão sujeitos </w:t>
      </w:r>
      <w:r w:rsidR="002A4F73">
        <w:rPr>
          <w:rFonts w:ascii="Cambria" w:hAnsi="Cambria"/>
        </w:rPr>
        <w:t>a</w:t>
      </w:r>
      <w:r>
        <w:rPr>
          <w:rFonts w:ascii="Cambria" w:hAnsi="Cambria"/>
        </w:rPr>
        <w:t xml:space="preserve"> alterações ou cancelamento;</w:t>
      </w:r>
    </w:p>
    <w:p w:rsidR="00F21ABE" w:rsidRDefault="00F21ABE" w:rsidP="009270A4">
      <w:pPr>
        <w:suppressLineNumbers/>
        <w:spacing w:line="276" w:lineRule="auto"/>
        <w:ind w:left="284"/>
        <w:jc w:val="both"/>
        <w:rPr>
          <w:rFonts w:ascii="Cambria" w:hAnsi="Cambria"/>
        </w:rPr>
      </w:pPr>
      <w:r w:rsidRPr="0096380A">
        <w:rPr>
          <w:rFonts w:ascii="Cambria" w:hAnsi="Cambria"/>
        </w:rPr>
        <w:t xml:space="preserve">Considerando </w:t>
      </w:r>
      <w:r>
        <w:rPr>
          <w:rFonts w:ascii="Cambria" w:hAnsi="Cambria"/>
        </w:rPr>
        <w:t>que a CEP-CAU/MG entende ser passível a retirada de multas após a lavratura do Auto de Infração, nos casos processuais onde houve regularização do fato gerador antes do julgamento do processo por esta Comissão, ainda que sejam mantidos os Autos de Infração, para fim de declaração de reincidência, por não ter sido identificadas imprecisões em sua lavratura.</w:t>
      </w:r>
    </w:p>
    <w:p w:rsidR="00F21ABE" w:rsidRPr="00603AD9" w:rsidRDefault="00F21ABE" w:rsidP="009270A4">
      <w:pPr>
        <w:suppressLineNumbers/>
        <w:spacing w:line="276" w:lineRule="auto"/>
        <w:ind w:left="284"/>
        <w:jc w:val="both"/>
        <w:rPr>
          <w:rFonts w:ascii="Cambria" w:hAnsi="Cambria"/>
          <w:color w:val="C00000"/>
        </w:rPr>
      </w:pPr>
      <w:r>
        <w:rPr>
          <w:rFonts w:ascii="Cambria" w:hAnsi="Cambria"/>
        </w:rPr>
        <w:t xml:space="preserve">Considerando </w:t>
      </w:r>
      <w:r w:rsidR="00D97F5C">
        <w:rPr>
          <w:rFonts w:ascii="Cambria" w:hAnsi="Cambria"/>
        </w:rPr>
        <w:t>que o Plenário do CAU/MG corrobora e utiliza-se do mesmo expediente acima mencionado, retirando multas, mesmo após a elaboração e votação do parecer no processo pela CEP.</w:t>
      </w:r>
    </w:p>
    <w:p w:rsidR="008B2BB0" w:rsidRDefault="008B2BB0" w:rsidP="002A523F">
      <w:pPr>
        <w:suppressLineNumbers/>
        <w:spacing w:after="0" w:line="276" w:lineRule="auto"/>
        <w:jc w:val="both"/>
        <w:rPr>
          <w:rFonts w:ascii="Cambria" w:hAnsi="Cambria"/>
          <w:b/>
        </w:rPr>
      </w:pPr>
    </w:p>
    <w:p w:rsidR="00A66A38" w:rsidRPr="009270A4" w:rsidRDefault="00A66A38" w:rsidP="002A523F">
      <w:pPr>
        <w:suppressLineNumbers/>
        <w:spacing w:after="0" w:line="276" w:lineRule="auto"/>
        <w:jc w:val="both"/>
        <w:rPr>
          <w:rFonts w:ascii="Cambria" w:hAnsi="Cambria"/>
          <w:b/>
        </w:rPr>
      </w:pPr>
      <w:r w:rsidRPr="009270A4">
        <w:rPr>
          <w:rFonts w:ascii="Cambria" w:hAnsi="Cambria"/>
          <w:b/>
        </w:rPr>
        <w:t>DELIBERAÇÃO</w:t>
      </w:r>
    </w:p>
    <w:p w:rsidR="00A66A38" w:rsidRPr="009270A4" w:rsidRDefault="00A66A38" w:rsidP="002A523F">
      <w:pPr>
        <w:suppressLineNumbers/>
        <w:spacing w:after="0" w:line="276" w:lineRule="auto"/>
        <w:jc w:val="both"/>
        <w:rPr>
          <w:rFonts w:ascii="Cambria" w:hAnsi="Cambria"/>
        </w:rPr>
      </w:pPr>
    </w:p>
    <w:p w:rsidR="007C7EAE" w:rsidRDefault="006547B5" w:rsidP="006547B5">
      <w:pPr>
        <w:suppressLineNumbers/>
        <w:spacing w:after="0" w:line="276" w:lineRule="auto"/>
        <w:ind w:left="284"/>
        <w:jc w:val="both"/>
        <w:rPr>
          <w:rFonts w:ascii="Cambria" w:hAnsi="Cambria"/>
        </w:rPr>
      </w:pPr>
      <w:r w:rsidRPr="006547B5">
        <w:rPr>
          <w:rFonts w:ascii="Cambria" w:hAnsi="Cambria"/>
        </w:rPr>
        <w:t>A Comissão de Exercício Profissional</w:t>
      </w:r>
      <w:r w:rsidR="00012B72">
        <w:rPr>
          <w:rFonts w:ascii="Cambria" w:hAnsi="Cambria"/>
        </w:rPr>
        <w:t xml:space="preserve">, </w:t>
      </w:r>
      <w:r w:rsidR="007C7EAE">
        <w:rPr>
          <w:rFonts w:ascii="Cambria" w:hAnsi="Cambria"/>
        </w:rPr>
        <w:t>reunida ordinariamente em Belo Horizonte</w:t>
      </w:r>
      <w:r w:rsidR="00603AD9">
        <w:rPr>
          <w:rFonts w:ascii="Cambria" w:hAnsi="Cambria"/>
        </w:rPr>
        <w:t xml:space="preserve"> </w:t>
      </w:r>
      <w:r w:rsidR="007C7EAE">
        <w:rPr>
          <w:rFonts w:ascii="Cambria" w:hAnsi="Cambria"/>
        </w:rPr>
        <w:t xml:space="preserve">na sede do </w:t>
      </w:r>
      <w:r w:rsidR="007C7EAE" w:rsidRPr="007C7EAE">
        <w:rPr>
          <w:rFonts w:ascii="Cambria" w:hAnsi="Cambria"/>
        </w:rPr>
        <w:t>Conselho de Arquitetura e Urbanismo de Minas Gerais</w:t>
      </w:r>
      <w:r w:rsidR="007C7EAE">
        <w:rPr>
          <w:rFonts w:ascii="Cambria" w:hAnsi="Cambria"/>
        </w:rPr>
        <w:t xml:space="preserve">, no uso das atribuições </w:t>
      </w:r>
      <w:r w:rsidR="00603AD9">
        <w:rPr>
          <w:rFonts w:ascii="Cambria" w:hAnsi="Cambria"/>
        </w:rPr>
        <w:t>adjudicadas</w:t>
      </w:r>
      <w:r w:rsidR="007C7EAE">
        <w:rPr>
          <w:rFonts w:ascii="Cambria" w:hAnsi="Cambria"/>
        </w:rPr>
        <w:t xml:space="preserve"> pelos artigos </w:t>
      </w:r>
      <w:r w:rsidR="00603AD9">
        <w:rPr>
          <w:rFonts w:ascii="Cambria" w:hAnsi="Cambria"/>
        </w:rPr>
        <w:t xml:space="preserve">49 e 50 do Regimento Interno do </w:t>
      </w:r>
      <w:r w:rsidR="00603AD9" w:rsidRPr="00603AD9">
        <w:rPr>
          <w:rFonts w:ascii="Cambria" w:hAnsi="Cambria"/>
        </w:rPr>
        <w:t>Conselho de Arquitetura e Urbanismo de Minas Gerais</w:t>
      </w:r>
      <w:r w:rsidR="00603AD9">
        <w:rPr>
          <w:rFonts w:ascii="Cambria" w:hAnsi="Cambria"/>
        </w:rPr>
        <w:t>, após análise do assunto e consideração supracita</w:t>
      </w:r>
      <w:r w:rsidR="0096380A">
        <w:rPr>
          <w:rFonts w:ascii="Cambria" w:hAnsi="Cambria"/>
        </w:rPr>
        <w:t xml:space="preserve">dos, </w:t>
      </w:r>
      <w:r w:rsidR="0096380A" w:rsidRPr="0096380A">
        <w:rPr>
          <w:rFonts w:ascii="Cambria" w:hAnsi="Cambria"/>
          <w:b/>
        </w:rPr>
        <w:t>DELIBEROU</w:t>
      </w:r>
      <w:r w:rsidR="00603AD9">
        <w:rPr>
          <w:rFonts w:ascii="Cambria" w:hAnsi="Cambria"/>
        </w:rPr>
        <w:t>:</w:t>
      </w:r>
    </w:p>
    <w:p w:rsidR="00603AD9" w:rsidRDefault="00603AD9" w:rsidP="006547B5">
      <w:pPr>
        <w:suppressLineNumbers/>
        <w:spacing w:after="0" w:line="276" w:lineRule="auto"/>
        <w:ind w:left="284"/>
        <w:jc w:val="both"/>
        <w:rPr>
          <w:rFonts w:ascii="Cambria" w:hAnsi="Cambria"/>
        </w:rPr>
      </w:pPr>
    </w:p>
    <w:p w:rsidR="00603AD9" w:rsidRDefault="00D97F5C" w:rsidP="00D97F5C">
      <w:pPr>
        <w:pStyle w:val="PargrafodaLista"/>
        <w:numPr>
          <w:ilvl w:val="0"/>
          <w:numId w:val="1"/>
        </w:numPr>
        <w:suppressLineNumbers/>
        <w:spacing w:after="0" w:line="276" w:lineRule="auto"/>
        <w:jc w:val="both"/>
        <w:rPr>
          <w:rFonts w:ascii="Cambria" w:hAnsi="Cambria"/>
        </w:rPr>
      </w:pPr>
      <w:r>
        <w:rPr>
          <w:rFonts w:ascii="Cambria" w:hAnsi="Cambria"/>
        </w:rPr>
        <w:t xml:space="preserve">Que as multas em processos de fiscalização </w:t>
      </w:r>
      <w:r w:rsidR="00CB0346">
        <w:rPr>
          <w:rFonts w:ascii="Cambria" w:hAnsi="Cambria"/>
        </w:rPr>
        <w:t xml:space="preserve">sejam </w:t>
      </w:r>
      <w:r>
        <w:rPr>
          <w:rFonts w:ascii="Cambria" w:hAnsi="Cambria"/>
        </w:rPr>
        <w:t>enviadas ao administrado apenas após o trânsito em julgado dos autos, uma vez que, em cada uma das subsequentes etapas do processo, a mesma pode ser retirada</w:t>
      </w:r>
      <w:r w:rsidR="00CB0346">
        <w:rPr>
          <w:rFonts w:ascii="Cambria" w:hAnsi="Cambria"/>
        </w:rPr>
        <w:t xml:space="preserve"> ou cancelada. O eventual pagamento da multa indevidamente gerada oneraria o Conselho, financeiramente e na alocação de funcionários, para providenciar o ressarcimento dos valores;</w:t>
      </w:r>
    </w:p>
    <w:p w:rsidR="00D97F5C" w:rsidRDefault="00D97F5C" w:rsidP="00D97F5C">
      <w:pPr>
        <w:pStyle w:val="PargrafodaLista"/>
        <w:suppressLineNumbers/>
        <w:spacing w:after="0" w:line="276" w:lineRule="auto"/>
        <w:ind w:left="1004"/>
        <w:jc w:val="both"/>
        <w:rPr>
          <w:rFonts w:ascii="Cambria" w:hAnsi="Cambria"/>
        </w:rPr>
      </w:pPr>
    </w:p>
    <w:p w:rsidR="00D97F5C" w:rsidRPr="00D97F5C" w:rsidRDefault="00D97F5C" w:rsidP="00D97F5C">
      <w:pPr>
        <w:pStyle w:val="PargrafodaLista"/>
        <w:numPr>
          <w:ilvl w:val="0"/>
          <w:numId w:val="1"/>
        </w:numPr>
        <w:suppressLineNumbers/>
        <w:spacing w:after="0" w:line="276" w:lineRule="auto"/>
        <w:jc w:val="both"/>
        <w:rPr>
          <w:rFonts w:ascii="Cambria" w:hAnsi="Cambria"/>
        </w:rPr>
      </w:pPr>
      <w:r>
        <w:rPr>
          <w:rFonts w:ascii="Cambria" w:hAnsi="Cambria"/>
        </w:rPr>
        <w:t xml:space="preserve">Que cópia desta deliberação seja remetida à Presidência do CAU/MG, para leitura em Plenário. </w:t>
      </w:r>
    </w:p>
    <w:p w:rsidR="00A63C72" w:rsidRDefault="00A63C72" w:rsidP="00A63C72">
      <w:pPr>
        <w:suppressLineNumbers/>
        <w:spacing w:after="0" w:line="276" w:lineRule="auto"/>
        <w:ind w:left="284"/>
        <w:jc w:val="right"/>
        <w:rPr>
          <w:rFonts w:ascii="Cambria" w:hAnsi="Cambria"/>
        </w:rPr>
      </w:pPr>
      <w:r>
        <w:rPr>
          <w:rFonts w:ascii="Cambria" w:hAnsi="Cambria"/>
        </w:rPr>
        <w:t xml:space="preserve">Belo Horizonte, </w:t>
      </w:r>
      <w:r w:rsidR="007C7EAE" w:rsidRPr="007C7EAE">
        <w:rPr>
          <w:rFonts w:ascii="Cambria" w:hAnsi="Cambria"/>
        </w:rPr>
        <w:t>18 de julho de 2016</w:t>
      </w:r>
      <w:r>
        <w:rPr>
          <w:rFonts w:ascii="Cambria" w:hAnsi="Cambria"/>
        </w:rPr>
        <w:t>.</w:t>
      </w:r>
    </w:p>
    <w:p w:rsidR="00A66A38" w:rsidRPr="00394E58" w:rsidRDefault="00A66A38" w:rsidP="002A523F">
      <w:pPr>
        <w:suppressLineNumbers/>
        <w:spacing w:after="0" w:line="276" w:lineRule="auto"/>
        <w:jc w:val="both"/>
        <w:rPr>
          <w:rFonts w:ascii="Cambria" w:hAnsi="Cambria"/>
        </w:rPr>
      </w:pPr>
    </w:p>
    <w:tbl>
      <w:tblPr>
        <w:tblStyle w:val="Tabelacomgrelha"/>
        <w:tblW w:w="10284" w:type="dxa"/>
        <w:tblInd w:w="-331" w:type="dxa"/>
        <w:tblLayout w:type="fixed"/>
        <w:tblLook w:val="04A0" w:firstRow="1" w:lastRow="0" w:firstColumn="1" w:lastColumn="0" w:noHBand="0" w:noVBand="1"/>
      </w:tblPr>
      <w:tblGrid>
        <w:gridCol w:w="2977"/>
        <w:gridCol w:w="1098"/>
        <w:gridCol w:w="1099"/>
        <w:gridCol w:w="1099"/>
        <w:gridCol w:w="1099"/>
        <w:gridCol w:w="2912"/>
      </w:tblGrid>
      <w:tr w:rsidR="00515553" w:rsidRPr="001F369E" w:rsidTr="008B2BB0">
        <w:trPr>
          <w:trHeight w:val="566"/>
        </w:trPr>
        <w:tc>
          <w:tcPr>
            <w:tcW w:w="10284" w:type="dxa"/>
            <w:gridSpan w:val="6"/>
            <w:shd w:val="clear" w:color="auto" w:fill="BFBFBF" w:themeFill="background1" w:themeFillShade="BF"/>
            <w:vAlign w:val="center"/>
          </w:tcPr>
          <w:p w:rsidR="00515553" w:rsidRPr="0016621E" w:rsidRDefault="00515553" w:rsidP="00A107F9">
            <w:pPr>
              <w:jc w:val="center"/>
              <w:rPr>
                <w:rFonts w:ascii="Cambria" w:hAnsi="Cambria"/>
                <w:b/>
                <w:szCs w:val="20"/>
              </w:rPr>
            </w:pPr>
            <w:r w:rsidRPr="0016621E">
              <w:rPr>
                <w:rFonts w:ascii="Cambria" w:hAnsi="Cambria"/>
                <w:b/>
                <w:szCs w:val="20"/>
              </w:rPr>
              <w:t>COMISSÃO DE EXERCÍCIO PROFISSIONAL</w:t>
            </w:r>
            <w:r>
              <w:rPr>
                <w:rFonts w:ascii="Cambria" w:hAnsi="Cambria"/>
                <w:b/>
                <w:szCs w:val="20"/>
              </w:rPr>
              <w:t xml:space="preserve"> DO CAU/MG – VOTAÇÃO</w:t>
            </w:r>
          </w:p>
        </w:tc>
      </w:tr>
      <w:tr w:rsidR="00515553" w:rsidRPr="001F369E" w:rsidTr="00C54227">
        <w:trPr>
          <w:trHeight w:val="566"/>
        </w:trPr>
        <w:tc>
          <w:tcPr>
            <w:tcW w:w="2977" w:type="dxa"/>
            <w:shd w:val="clear" w:color="auto" w:fill="auto"/>
            <w:vAlign w:val="center"/>
          </w:tcPr>
          <w:p w:rsidR="005720D7" w:rsidRPr="005720D7" w:rsidRDefault="005720D7" w:rsidP="00A107F9">
            <w:pPr>
              <w:jc w:val="center"/>
              <w:rPr>
                <w:rFonts w:ascii="Cambria" w:hAnsi="Cambria"/>
                <w:b/>
                <w:sz w:val="20"/>
                <w:szCs w:val="20"/>
              </w:rPr>
            </w:pPr>
            <w:r w:rsidRPr="005720D7">
              <w:rPr>
                <w:rFonts w:ascii="Cambria" w:hAnsi="Cambria"/>
                <w:b/>
                <w:sz w:val="20"/>
                <w:szCs w:val="20"/>
              </w:rPr>
              <w:t>CONSELHEIRO(A) ESTADUAL</w:t>
            </w:r>
          </w:p>
        </w:tc>
        <w:tc>
          <w:tcPr>
            <w:tcW w:w="1098" w:type="dxa"/>
            <w:shd w:val="clear" w:color="auto" w:fill="auto"/>
            <w:vAlign w:val="center"/>
          </w:tcPr>
          <w:p w:rsidR="005720D7" w:rsidRPr="005720D7" w:rsidRDefault="005720D7" w:rsidP="00A107F9">
            <w:pPr>
              <w:jc w:val="center"/>
              <w:rPr>
                <w:rFonts w:ascii="Cambria" w:hAnsi="Cambria"/>
                <w:sz w:val="16"/>
                <w:szCs w:val="17"/>
              </w:rPr>
            </w:pPr>
            <w:r w:rsidRPr="005720D7">
              <w:rPr>
                <w:rFonts w:ascii="Cambria" w:hAnsi="Cambria"/>
                <w:sz w:val="16"/>
                <w:szCs w:val="17"/>
              </w:rPr>
              <w:t>A FAVOR</w:t>
            </w:r>
          </w:p>
        </w:tc>
        <w:tc>
          <w:tcPr>
            <w:tcW w:w="1099" w:type="dxa"/>
            <w:shd w:val="clear" w:color="auto" w:fill="auto"/>
            <w:vAlign w:val="center"/>
          </w:tcPr>
          <w:p w:rsidR="005720D7" w:rsidRPr="005720D7" w:rsidRDefault="005720D7" w:rsidP="00A107F9">
            <w:pPr>
              <w:jc w:val="center"/>
              <w:rPr>
                <w:rFonts w:ascii="Cambria" w:hAnsi="Cambria"/>
                <w:sz w:val="16"/>
                <w:szCs w:val="17"/>
              </w:rPr>
            </w:pPr>
            <w:r w:rsidRPr="005720D7">
              <w:rPr>
                <w:rFonts w:ascii="Cambria" w:hAnsi="Cambria"/>
                <w:sz w:val="16"/>
                <w:szCs w:val="17"/>
              </w:rPr>
              <w:t>CONTRA</w:t>
            </w:r>
          </w:p>
        </w:tc>
        <w:tc>
          <w:tcPr>
            <w:tcW w:w="1099" w:type="dxa"/>
            <w:shd w:val="clear" w:color="auto" w:fill="auto"/>
            <w:vAlign w:val="center"/>
          </w:tcPr>
          <w:p w:rsidR="005720D7" w:rsidRPr="00515553" w:rsidRDefault="005720D7" w:rsidP="00A107F9">
            <w:pPr>
              <w:jc w:val="center"/>
              <w:rPr>
                <w:rFonts w:ascii="Cambria" w:hAnsi="Cambria"/>
                <w:sz w:val="16"/>
                <w:szCs w:val="17"/>
              </w:rPr>
            </w:pPr>
            <w:r w:rsidRPr="00515553">
              <w:rPr>
                <w:rFonts w:ascii="Cambria" w:hAnsi="Cambria"/>
                <w:sz w:val="16"/>
                <w:szCs w:val="17"/>
              </w:rPr>
              <w:t>ABSTENÇÃO</w:t>
            </w:r>
          </w:p>
        </w:tc>
        <w:tc>
          <w:tcPr>
            <w:tcW w:w="1099" w:type="dxa"/>
            <w:shd w:val="clear" w:color="auto" w:fill="auto"/>
            <w:vAlign w:val="center"/>
          </w:tcPr>
          <w:p w:rsidR="004708E9" w:rsidRDefault="004708E9" w:rsidP="00A107F9">
            <w:pPr>
              <w:jc w:val="center"/>
              <w:rPr>
                <w:rFonts w:ascii="Cambria" w:hAnsi="Cambria"/>
                <w:sz w:val="16"/>
                <w:szCs w:val="17"/>
              </w:rPr>
            </w:pPr>
            <w:r>
              <w:rPr>
                <w:rFonts w:ascii="Cambria" w:hAnsi="Cambria"/>
                <w:sz w:val="16"/>
                <w:szCs w:val="17"/>
              </w:rPr>
              <w:t>PEDIDO</w:t>
            </w:r>
          </w:p>
          <w:p w:rsidR="005720D7" w:rsidRPr="005720D7" w:rsidRDefault="004708E9" w:rsidP="00A107F9">
            <w:pPr>
              <w:jc w:val="center"/>
              <w:rPr>
                <w:rFonts w:ascii="Cambria" w:hAnsi="Cambria"/>
                <w:sz w:val="16"/>
                <w:szCs w:val="17"/>
              </w:rPr>
            </w:pPr>
            <w:r>
              <w:rPr>
                <w:rFonts w:ascii="Cambria" w:hAnsi="Cambria"/>
                <w:sz w:val="16"/>
                <w:szCs w:val="17"/>
              </w:rPr>
              <w:t xml:space="preserve">DE </w:t>
            </w:r>
            <w:r w:rsidR="005720D7" w:rsidRPr="005720D7">
              <w:rPr>
                <w:rFonts w:ascii="Cambria" w:hAnsi="Cambria"/>
                <w:sz w:val="16"/>
                <w:szCs w:val="17"/>
              </w:rPr>
              <w:t>VISTAS</w:t>
            </w:r>
          </w:p>
        </w:tc>
        <w:tc>
          <w:tcPr>
            <w:tcW w:w="2912" w:type="dxa"/>
            <w:shd w:val="clear" w:color="auto" w:fill="auto"/>
            <w:vAlign w:val="center"/>
          </w:tcPr>
          <w:p w:rsidR="005720D7" w:rsidRPr="005720D7" w:rsidRDefault="005720D7" w:rsidP="00A107F9">
            <w:pPr>
              <w:jc w:val="center"/>
              <w:rPr>
                <w:rFonts w:ascii="Cambria" w:hAnsi="Cambria"/>
                <w:b/>
                <w:sz w:val="20"/>
                <w:szCs w:val="20"/>
              </w:rPr>
            </w:pPr>
            <w:r w:rsidRPr="005720D7">
              <w:rPr>
                <w:rFonts w:ascii="Cambria" w:hAnsi="Cambria"/>
                <w:b/>
                <w:sz w:val="20"/>
                <w:szCs w:val="20"/>
              </w:rPr>
              <w:t>ASSINATURA</w:t>
            </w:r>
          </w:p>
        </w:tc>
      </w:tr>
      <w:tr w:rsidR="00515553" w:rsidRPr="001F369E" w:rsidTr="00C54227">
        <w:trPr>
          <w:trHeight w:val="566"/>
        </w:trPr>
        <w:tc>
          <w:tcPr>
            <w:tcW w:w="2977" w:type="dxa"/>
            <w:vAlign w:val="center"/>
          </w:tcPr>
          <w:p w:rsidR="005720D7" w:rsidRPr="001F369E" w:rsidRDefault="005720D7" w:rsidP="00A107F9">
            <w:pPr>
              <w:rPr>
                <w:rFonts w:ascii="Cambria" w:hAnsi="Cambria"/>
                <w:szCs w:val="20"/>
              </w:rPr>
            </w:pPr>
            <w:r w:rsidRPr="005720D7">
              <w:rPr>
                <w:rFonts w:ascii="Cambria" w:hAnsi="Cambria"/>
                <w:sz w:val="20"/>
                <w:szCs w:val="20"/>
              </w:rPr>
              <w:t>Júlio Guerra Torres</w:t>
            </w:r>
          </w:p>
          <w:p w:rsidR="005720D7" w:rsidRPr="001F369E" w:rsidRDefault="005720D7" w:rsidP="00A107F9">
            <w:pPr>
              <w:rPr>
                <w:rFonts w:ascii="Cambria" w:hAnsi="Cambria"/>
                <w:sz w:val="20"/>
                <w:szCs w:val="20"/>
              </w:rPr>
            </w:pPr>
            <w:r w:rsidRPr="005720D7">
              <w:rPr>
                <w:rFonts w:ascii="Cambria" w:hAnsi="Cambria"/>
                <w:sz w:val="17"/>
                <w:szCs w:val="17"/>
              </w:rPr>
              <w:t>Alberto Enrique D’Ávila Bravo (S)</w:t>
            </w:r>
          </w:p>
        </w:tc>
        <w:tc>
          <w:tcPr>
            <w:tcW w:w="1098" w:type="dxa"/>
            <w:vAlign w:val="center"/>
          </w:tcPr>
          <w:p w:rsidR="005720D7" w:rsidRPr="001F369E" w:rsidRDefault="005720D7" w:rsidP="00A107F9">
            <w:pPr>
              <w:jc w:val="center"/>
              <w:rPr>
                <w:rFonts w:ascii="Cambria" w:hAnsi="Cambria"/>
                <w:sz w:val="20"/>
                <w:szCs w:val="20"/>
              </w:rPr>
            </w:pPr>
          </w:p>
        </w:tc>
        <w:tc>
          <w:tcPr>
            <w:tcW w:w="1099" w:type="dxa"/>
            <w:vAlign w:val="center"/>
          </w:tcPr>
          <w:p w:rsidR="005720D7" w:rsidRPr="001F369E" w:rsidRDefault="005720D7" w:rsidP="00A107F9">
            <w:pPr>
              <w:jc w:val="center"/>
              <w:rPr>
                <w:rFonts w:ascii="Cambria" w:hAnsi="Cambria"/>
                <w:sz w:val="20"/>
                <w:szCs w:val="20"/>
              </w:rPr>
            </w:pPr>
          </w:p>
        </w:tc>
        <w:tc>
          <w:tcPr>
            <w:tcW w:w="1099" w:type="dxa"/>
            <w:vAlign w:val="center"/>
          </w:tcPr>
          <w:p w:rsidR="005720D7" w:rsidRPr="001F369E" w:rsidRDefault="005720D7" w:rsidP="00A107F9">
            <w:pPr>
              <w:jc w:val="center"/>
              <w:rPr>
                <w:rFonts w:ascii="Cambria" w:hAnsi="Cambria"/>
                <w:sz w:val="20"/>
                <w:szCs w:val="20"/>
              </w:rPr>
            </w:pPr>
          </w:p>
        </w:tc>
        <w:tc>
          <w:tcPr>
            <w:tcW w:w="1099" w:type="dxa"/>
            <w:vAlign w:val="center"/>
          </w:tcPr>
          <w:p w:rsidR="005720D7" w:rsidRPr="001F369E" w:rsidRDefault="005720D7" w:rsidP="00A107F9">
            <w:pPr>
              <w:jc w:val="center"/>
              <w:rPr>
                <w:rFonts w:ascii="Cambria" w:hAnsi="Cambria"/>
                <w:sz w:val="20"/>
                <w:szCs w:val="20"/>
              </w:rPr>
            </w:pPr>
          </w:p>
        </w:tc>
        <w:tc>
          <w:tcPr>
            <w:tcW w:w="2912" w:type="dxa"/>
            <w:vAlign w:val="center"/>
          </w:tcPr>
          <w:p w:rsidR="005720D7" w:rsidRPr="001F369E" w:rsidRDefault="005720D7" w:rsidP="00A107F9">
            <w:pPr>
              <w:jc w:val="center"/>
              <w:rPr>
                <w:rFonts w:ascii="Cambria" w:hAnsi="Cambria"/>
                <w:sz w:val="20"/>
                <w:szCs w:val="20"/>
              </w:rPr>
            </w:pPr>
          </w:p>
        </w:tc>
      </w:tr>
      <w:tr w:rsidR="00515553" w:rsidRPr="001F369E" w:rsidTr="00C54227">
        <w:trPr>
          <w:trHeight w:val="566"/>
        </w:trPr>
        <w:tc>
          <w:tcPr>
            <w:tcW w:w="2977" w:type="dxa"/>
            <w:tcBorders>
              <w:bottom w:val="single" w:sz="4" w:space="0" w:color="auto"/>
            </w:tcBorders>
            <w:vAlign w:val="center"/>
          </w:tcPr>
          <w:p w:rsidR="005720D7" w:rsidRPr="001F369E" w:rsidRDefault="005720D7" w:rsidP="00A107F9">
            <w:pPr>
              <w:rPr>
                <w:rFonts w:ascii="Cambria" w:hAnsi="Cambria"/>
                <w:szCs w:val="20"/>
              </w:rPr>
            </w:pPr>
            <w:r w:rsidRPr="005720D7">
              <w:rPr>
                <w:rFonts w:ascii="Cambria" w:hAnsi="Cambria"/>
                <w:sz w:val="20"/>
                <w:szCs w:val="20"/>
              </w:rPr>
              <w:t>Roberto Pereira Andrade</w:t>
            </w:r>
          </w:p>
          <w:p w:rsidR="005720D7" w:rsidRPr="001F369E" w:rsidRDefault="005720D7" w:rsidP="00A107F9">
            <w:pPr>
              <w:rPr>
                <w:rFonts w:ascii="Cambria" w:hAnsi="Cambria"/>
                <w:sz w:val="20"/>
                <w:szCs w:val="20"/>
              </w:rPr>
            </w:pPr>
            <w:r w:rsidRPr="005720D7">
              <w:rPr>
                <w:rFonts w:ascii="Cambria" w:hAnsi="Cambria"/>
                <w:sz w:val="17"/>
                <w:szCs w:val="17"/>
              </w:rPr>
              <w:t xml:space="preserve">Ariel </w:t>
            </w:r>
            <w:proofErr w:type="spellStart"/>
            <w:r w:rsidRPr="005720D7">
              <w:rPr>
                <w:rFonts w:ascii="Cambria" w:hAnsi="Cambria"/>
                <w:sz w:val="17"/>
                <w:szCs w:val="17"/>
              </w:rPr>
              <w:t>Luis</w:t>
            </w:r>
            <w:proofErr w:type="spellEnd"/>
            <w:r w:rsidRPr="005720D7">
              <w:rPr>
                <w:rFonts w:ascii="Cambria" w:hAnsi="Cambria"/>
                <w:sz w:val="17"/>
                <w:szCs w:val="17"/>
              </w:rPr>
              <w:t xml:space="preserve"> </w:t>
            </w:r>
            <w:proofErr w:type="spellStart"/>
            <w:r w:rsidRPr="005720D7">
              <w:rPr>
                <w:rFonts w:ascii="Cambria" w:hAnsi="Cambria"/>
                <w:sz w:val="17"/>
                <w:szCs w:val="17"/>
              </w:rPr>
              <w:t>Lazzarin</w:t>
            </w:r>
            <w:proofErr w:type="spellEnd"/>
            <w:r w:rsidRPr="005720D7">
              <w:rPr>
                <w:rFonts w:ascii="Cambria" w:hAnsi="Cambria"/>
                <w:sz w:val="17"/>
                <w:szCs w:val="17"/>
              </w:rPr>
              <w:t xml:space="preserve"> (S)</w:t>
            </w:r>
          </w:p>
        </w:tc>
        <w:tc>
          <w:tcPr>
            <w:tcW w:w="1098" w:type="dxa"/>
            <w:tcBorders>
              <w:bottom w:val="single" w:sz="4" w:space="0" w:color="auto"/>
            </w:tcBorders>
            <w:vAlign w:val="center"/>
          </w:tcPr>
          <w:p w:rsidR="005720D7" w:rsidRPr="001F369E" w:rsidRDefault="005720D7" w:rsidP="00A107F9">
            <w:pPr>
              <w:jc w:val="center"/>
              <w:rPr>
                <w:rFonts w:ascii="Cambria" w:hAnsi="Cambria"/>
                <w:sz w:val="20"/>
                <w:szCs w:val="20"/>
              </w:rPr>
            </w:pPr>
          </w:p>
        </w:tc>
        <w:tc>
          <w:tcPr>
            <w:tcW w:w="1099" w:type="dxa"/>
            <w:tcBorders>
              <w:bottom w:val="single" w:sz="4" w:space="0" w:color="auto"/>
            </w:tcBorders>
            <w:vAlign w:val="center"/>
          </w:tcPr>
          <w:p w:rsidR="005720D7" w:rsidRPr="001F369E" w:rsidRDefault="005720D7" w:rsidP="00A107F9">
            <w:pPr>
              <w:jc w:val="center"/>
              <w:rPr>
                <w:rFonts w:ascii="Cambria" w:hAnsi="Cambria"/>
                <w:sz w:val="20"/>
                <w:szCs w:val="20"/>
              </w:rPr>
            </w:pPr>
          </w:p>
        </w:tc>
        <w:tc>
          <w:tcPr>
            <w:tcW w:w="1099" w:type="dxa"/>
            <w:tcBorders>
              <w:bottom w:val="single" w:sz="4" w:space="0" w:color="auto"/>
            </w:tcBorders>
            <w:vAlign w:val="center"/>
          </w:tcPr>
          <w:p w:rsidR="005720D7" w:rsidRPr="001F369E" w:rsidRDefault="005720D7" w:rsidP="00A107F9">
            <w:pPr>
              <w:jc w:val="center"/>
              <w:rPr>
                <w:rFonts w:ascii="Cambria" w:hAnsi="Cambria"/>
                <w:sz w:val="20"/>
                <w:szCs w:val="20"/>
              </w:rPr>
            </w:pPr>
          </w:p>
        </w:tc>
        <w:tc>
          <w:tcPr>
            <w:tcW w:w="1099" w:type="dxa"/>
            <w:tcBorders>
              <w:bottom w:val="single" w:sz="4" w:space="0" w:color="auto"/>
            </w:tcBorders>
            <w:vAlign w:val="center"/>
          </w:tcPr>
          <w:p w:rsidR="005720D7" w:rsidRPr="001F369E" w:rsidRDefault="005720D7" w:rsidP="00A107F9">
            <w:pPr>
              <w:jc w:val="center"/>
              <w:rPr>
                <w:rFonts w:ascii="Cambria" w:hAnsi="Cambria"/>
                <w:sz w:val="20"/>
                <w:szCs w:val="20"/>
              </w:rPr>
            </w:pPr>
          </w:p>
        </w:tc>
        <w:tc>
          <w:tcPr>
            <w:tcW w:w="2912" w:type="dxa"/>
            <w:tcBorders>
              <w:bottom w:val="single" w:sz="4" w:space="0" w:color="auto"/>
            </w:tcBorders>
            <w:vAlign w:val="center"/>
          </w:tcPr>
          <w:p w:rsidR="005720D7" w:rsidRPr="001F369E" w:rsidRDefault="005720D7" w:rsidP="00A107F9">
            <w:pPr>
              <w:jc w:val="center"/>
              <w:rPr>
                <w:rFonts w:ascii="Cambria" w:hAnsi="Cambria"/>
                <w:sz w:val="20"/>
                <w:szCs w:val="20"/>
              </w:rPr>
            </w:pPr>
          </w:p>
        </w:tc>
      </w:tr>
      <w:tr w:rsidR="00515553" w:rsidRPr="001F369E" w:rsidTr="00C54227">
        <w:trPr>
          <w:trHeight w:val="566"/>
        </w:trPr>
        <w:tc>
          <w:tcPr>
            <w:tcW w:w="2977" w:type="dxa"/>
            <w:tcBorders>
              <w:bottom w:val="single" w:sz="4" w:space="0" w:color="auto"/>
            </w:tcBorders>
            <w:vAlign w:val="center"/>
          </w:tcPr>
          <w:p w:rsidR="005720D7" w:rsidRPr="001F369E" w:rsidRDefault="005720D7" w:rsidP="00A107F9">
            <w:pPr>
              <w:rPr>
                <w:rFonts w:ascii="Cambria" w:hAnsi="Cambria"/>
                <w:szCs w:val="20"/>
              </w:rPr>
            </w:pPr>
            <w:r w:rsidRPr="005720D7">
              <w:rPr>
                <w:rFonts w:ascii="Cambria" w:hAnsi="Cambria"/>
                <w:sz w:val="20"/>
                <w:szCs w:val="20"/>
              </w:rPr>
              <w:t>Rose Meire Romano</w:t>
            </w:r>
          </w:p>
          <w:p w:rsidR="005720D7" w:rsidRPr="005720D7" w:rsidRDefault="005720D7" w:rsidP="00A107F9">
            <w:pPr>
              <w:rPr>
                <w:rFonts w:ascii="Cambria" w:hAnsi="Cambria"/>
                <w:sz w:val="17"/>
                <w:szCs w:val="17"/>
              </w:rPr>
            </w:pPr>
            <w:proofErr w:type="spellStart"/>
            <w:r w:rsidRPr="005720D7">
              <w:rPr>
                <w:rFonts w:ascii="Cambria" w:hAnsi="Cambria"/>
                <w:sz w:val="17"/>
                <w:szCs w:val="17"/>
              </w:rPr>
              <w:t>Mariella</w:t>
            </w:r>
            <w:proofErr w:type="spellEnd"/>
            <w:r w:rsidRPr="005720D7">
              <w:rPr>
                <w:rFonts w:ascii="Cambria" w:hAnsi="Cambria"/>
                <w:sz w:val="17"/>
                <w:szCs w:val="17"/>
              </w:rPr>
              <w:t xml:space="preserve"> de Pádua N</w:t>
            </w:r>
            <w:r>
              <w:rPr>
                <w:rFonts w:ascii="Cambria" w:hAnsi="Cambria"/>
                <w:sz w:val="17"/>
                <w:szCs w:val="17"/>
              </w:rPr>
              <w:t>.</w:t>
            </w:r>
            <w:r w:rsidRPr="005720D7">
              <w:rPr>
                <w:rFonts w:ascii="Cambria" w:hAnsi="Cambria"/>
                <w:sz w:val="17"/>
                <w:szCs w:val="17"/>
              </w:rPr>
              <w:t xml:space="preserve"> </w:t>
            </w:r>
            <w:proofErr w:type="spellStart"/>
            <w:r w:rsidRPr="005720D7">
              <w:rPr>
                <w:rFonts w:ascii="Cambria" w:hAnsi="Cambria"/>
                <w:sz w:val="17"/>
                <w:szCs w:val="17"/>
              </w:rPr>
              <w:t>Betzel</w:t>
            </w:r>
            <w:proofErr w:type="spellEnd"/>
            <w:r w:rsidRPr="005720D7">
              <w:rPr>
                <w:rFonts w:ascii="Cambria" w:hAnsi="Cambria"/>
                <w:sz w:val="17"/>
                <w:szCs w:val="17"/>
              </w:rPr>
              <w:t xml:space="preserve"> </w:t>
            </w:r>
            <w:proofErr w:type="spellStart"/>
            <w:r w:rsidRPr="005720D7">
              <w:rPr>
                <w:rFonts w:ascii="Cambria" w:hAnsi="Cambria"/>
                <w:sz w:val="17"/>
                <w:szCs w:val="17"/>
              </w:rPr>
              <w:t>Lemke</w:t>
            </w:r>
            <w:proofErr w:type="spellEnd"/>
            <w:r w:rsidRPr="005720D7">
              <w:rPr>
                <w:rFonts w:ascii="Cambria" w:hAnsi="Cambria"/>
                <w:sz w:val="17"/>
                <w:szCs w:val="17"/>
              </w:rPr>
              <w:t xml:space="preserve"> (S)</w:t>
            </w:r>
          </w:p>
        </w:tc>
        <w:tc>
          <w:tcPr>
            <w:tcW w:w="1098" w:type="dxa"/>
            <w:tcBorders>
              <w:bottom w:val="single" w:sz="4" w:space="0" w:color="auto"/>
            </w:tcBorders>
            <w:vAlign w:val="center"/>
          </w:tcPr>
          <w:p w:rsidR="005720D7" w:rsidRPr="001F369E" w:rsidRDefault="005720D7" w:rsidP="00A107F9">
            <w:pPr>
              <w:jc w:val="center"/>
              <w:rPr>
                <w:rFonts w:ascii="Cambria" w:hAnsi="Cambria"/>
                <w:sz w:val="20"/>
                <w:szCs w:val="20"/>
              </w:rPr>
            </w:pPr>
          </w:p>
        </w:tc>
        <w:tc>
          <w:tcPr>
            <w:tcW w:w="1099" w:type="dxa"/>
            <w:tcBorders>
              <w:bottom w:val="single" w:sz="4" w:space="0" w:color="auto"/>
            </w:tcBorders>
            <w:vAlign w:val="center"/>
          </w:tcPr>
          <w:p w:rsidR="005720D7" w:rsidRPr="001F369E" w:rsidRDefault="005720D7" w:rsidP="00A107F9">
            <w:pPr>
              <w:jc w:val="center"/>
              <w:rPr>
                <w:rFonts w:ascii="Cambria" w:hAnsi="Cambria"/>
                <w:sz w:val="20"/>
                <w:szCs w:val="20"/>
              </w:rPr>
            </w:pPr>
          </w:p>
        </w:tc>
        <w:tc>
          <w:tcPr>
            <w:tcW w:w="1099" w:type="dxa"/>
            <w:tcBorders>
              <w:bottom w:val="single" w:sz="4" w:space="0" w:color="auto"/>
            </w:tcBorders>
            <w:vAlign w:val="center"/>
          </w:tcPr>
          <w:p w:rsidR="005720D7" w:rsidRPr="001F369E" w:rsidRDefault="005720D7" w:rsidP="00A107F9">
            <w:pPr>
              <w:jc w:val="center"/>
              <w:rPr>
                <w:rFonts w:ascii="Cambria" w:hAnsi="Cambria"/>
                <w:sz w:val="20"/>
                <w:szCs w:val="20"/>
              </w:rPr>
            </w:pPr>
          </w:p>
        </w:tc>
        <w:tc>
          <w:tcPr>
            <w:tcW w:w="1099" w:type="dxa"/>
            <w:tcBorders>
              <w:bottom w:val="single" w:sz="4" w:space="0" w:color="auto"/>
            </w:tcBorders>
            <w:vAlign w:val="center"/>
          </w:tcPr>
          <w:p w:rsidR="005720D7" w:rsidRPr="001F369E" w:rsidRDefault="005720D7" w:rsidP="00A107F9">
            <w:pPr>
              <w:jc w:val="center"/>
              <w:rPr>
                <w:rFonts w:ascii="Cambria" w:hAnsi="Cambria"/>
                <w:sz w:val="20"/>
                <w:szCs w:val="20"/>
              </w:rPr>
            </w:pPr>
          </w:p>
        </w:tc>
        <w:tc>
          <w:tcPr>
            <w:tcW w:w="2912" w:type="dxa"/>
            <w:tcBorders>
              <w:bottom w:val="single" w:sz="4" w:space="0" w:color="auto"/>
            </w:tcBorders>
            <w:vAlign w:val="center"/>
          </w:tcPr>
          <w:p w:rsidR="005720D7" w:rsidRPr="001F369E" w:rsidRDefault="005720D7" w:rsidP="00A107F9">
            <w:pPr>
              <w:jc w:val="center"/>
              <w:rPr>
                <w:rFonts w:ascii="Cambria" w:hAnsi="Cambria"/>
                <w:sz w:val="20"/>
                <w:szCs w:val="20"/>
              </w:rPr>
            </w:pPr>
          </w:p>
        </w:tc>
      </w:tr>
      <w:tr w:rsidR="004708E9" w:rsidRPr="004708E9" w:rsidTr="00C54227">
        <w:trPr>
          <w:trHeight w:val="566"/>
        </w:trPr>
        <w:tc>
          <w:tcPr>
            <w:tcW w:w="6273" w:type="dxa"/>
            <w:gridSpan w:val="4"/>
            <w:tcBorders>
              <w:top w:val="single" w:sz="4" w:space="0" w:color="auto"/>
              <w:left w:val="nil"/>
              <w:bottom w:val="nil"/>
              <w:right w:val="nil"/>
            </w:tcBorders>
            <w:vAlign w:val="bottom"/>
          </w:tcPr>
          <w:p w:rsidR="004708E9" w:rsidRDefault="004708E9" w:rsidP="00A107F9">
            <w:pPr>
              <w:jc w:val="center"/>
              <w:rPr>
                <w:rFonts w:ascii="Cambria" w:hAnsi="Cambria"/>
                <w:sz w:val="20"/>
                <w:szCs w:val="20"/>
              </w:rPr>
            </w:pPr>
          </w:p>
          <w:p w:rsidR="004708E9" w:rsidRPr="001F369E" w:rsidRDefault="004708E9" w:rsidP="00A107F9">
            <w:pPr>
              <w:jc w:val="right"/>
              <w:rPr>
                <w:rFonts w:ascii="Cambria" w:hAnsi="Cambria"/>
                <w:sz w:val="20"/>
                <w:szCs w:val="20"/>
              </w:rPr>
            </w:pPr>
            <w:proofErr w:type="gramStart"/>
            <w:r>
              <w:rPr>
                <w:rFonts w:ascii="Cambria" w:hAnsi="Cambria"/>
                <w:sz w:val="20"/>
                <w:szCs w:val="20"/>
              </w:rPr>
              <w:t>Coordenador(</w:t>
            </w:r>
            <w:proofErr w:type="gramEnd"/>
            <w:r>
              <w:rPr>
                <w:rFonts w:ascii="Cambria" w:hAnsi="Cambria"/>
                <w:sz w:val="20"/>
                <w:szCs w:val="20"/>
              </w:rPr>
              <w:t>a):</w:t>
            </w:r>
          </w:p>
        </w:tc>
        <w:tc>
          <w:tcPr>
            <w:tcW w:w="4011" w:type="dxa"/>
            <w:gridSpan w:val="2"/>
            <w:tcBorders>
              <w:top w:val="single" w:sz="4" w:space="0" w:color="auto"/>
              <w:left w:val="nil"/>
              <w:bottom w:val="single" w:sz="4" w:space="0" w:color="auto"/>
              <w:right w:val="nil"/>
            </w:tcBorders>
            <w:vAlign w:val="bottom"/>
          </w:tcPr>
          <w:p w:rsidR="004708E9" w:rsidRDefault="004708E9" w:rsidP="00A107F9">
            <w:pPr>
              <w:jc w:val="right"/>
              <w:rPr>
                <w:rFonts w:ascii="Cambria" w:hAnsi="Cambria"/>
                <w:sz w:val="20"/>
                <w:szCs w:val="20"/>
              </w:rPr>
            </w:pPr>
          </w:p>
          <w:p w:rsidR="004708E9" w:rsidRDefault="004708E9" w:rsidP="00A107F9">
            <w:pPr>
              <w:jc w:val="right"/>
              <w:rPr>
                <w:rFonts w:ascii="Cambria" w:hAnsi="Cambria"/>
                <w:sz w:val="20"/>
                <w:szCs w:val="20"/>
              </w:rPr>
            </w:pPr>
          </w:p>
          <w:p w:rsidR="004708E9" w:rsidRPr="001F369E" w:rsidRDefault="004708E9" w:rsidP="00A107F9">
            <w:pPr>
              <w:jc w:val="right"/>
              <w:rPr>
                <w:rFonts w:ascii="Cambria" w:hAnsi="Cambria"/>
                <w:sz w:val="20"/>
                <w:szCs w:val="20"/>
              </w:rPr>
            </w:pPr>
          </w:p>
        </w:tc>
      </w:tr>
    </w:tbl>
    <w:p w:rsidR="00BC782C" w:rsidRDefault="00BC782C" w:rsidP="00A107F9">
      <w:pPr>
        <w:suppressLineNumbers/>
        <w:spacing w:line="240" w:lineRule="auto"/>
        <w:jc w:val="both"/>
        <w:rPr>
          <w:rFonts w:ascii="Cambria" w:hAnsi="Cambria"/>
        </w:rPr>
      </w:pPr>
    </w:p>
    <w:sectPr w:rsidR="00BC782C" w:rsidSect="005C42F6">
      <w:headerReference w:type="default" r:id="rId8"/>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4C9" w:rsidRDefault="004B44C9" w:rsidP="004B44C9">
      <w:pPr>
        <w:spacing w:after="0" w:line="240" w:lineRule="auto"/>
      </w:pPr>
      <w:r>
        <w:separator/>
      </w:r>
    </w:p>
  </w:endnote>
  <w:endnote w:type="continuationSeparator" w:id="0">
    <w:p w:rsidR="004B44C9" w:rsidRDefault="004B44C9" w:rsidP="004B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4C9" w:rsidRDefault="004B44C9" w:rsidP="004B44C9">
      <w:pPr>
        <w:spacing w:after="0" w:line="240" w:lineRule="auto"/>
      </w:pPr>
      <w:r>
        <w:separator/>
      </w:r>
    </w:p>
  </w:footnote>
  <w:footnote w:type="continuationSeparator" w:id="0">
    <w:p w:rsidR="004B44C9" w:rsidRDefault="004B44C9" w:rsidP="004B4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4C9" w:rsidRPr="004B44C9" w:rsidRDefault="004B44C9" w:rsidP="004B44C9">
    <w:pPr>
      <w:pStyle w:val="Cabealho"/>
    </w:pPr>
    <w:r w:rsidRPr="004B44C9">
      <w:rPr>
        <w:noProof/>
        <w:lang w:eastAsia="pt-BR"/>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-450215</wp:posOffset>
          </wp:positionV>
          <wp:extent cx="7543800" cy="10670827"/>
          <wp:effectExtent l="0" t="0" r="0" b="0"/>
          <wp:wrapNone/>
          <wp:docPr id="1" name="Imagem 1" descr="C:\Users\tadeu.santos\Desktop\FU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deu.santos\Desktop\FUN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106708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12E5B"/>
    <w:multiLevelType w:val="hybridMultilevel"/>
    <w:tmpl w:val="27D2258A"/>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94"/>
    <w:rsid w:val="00012B72"/>
    <w:rsid w:val="00053F64"/>
    <w:rsid w:val="00054578"/>
    <w:rsid w:val="00080869"/>
    <w:rsid w:val="000B2351"/>
    <w:rsid w:val="00100268"/>
    <w:rsid w:val="00111475"/>
    <w:rsid w:val="00135AD9"/>
    <w:rsid w:val="0016621E"/>
    <w:rsid w:val="001F369E"/>
    <w:rsid w:val="00201A8E"/>
    <w:rsid w:val="002113A2"/>
    <w:rsid w:val="00272AC4"/>
    <w:rsid w:val="002A4F73"/>
    <w:rsid w:val="002A523F"/>
    <w:rsid w:val="00317C25"/>
    <w:rsid w:val="00332B60"/>
    <w:rsid w:val="00394E58"/>
    <w:rsid w:val="003A5281"/>
    <w:rsid w:val="00432B1A"/>
    <w:rsid w:val="004708E9"/>
    <w:rsid w:val="00480CAC"/>
    <w:rsid w:val="00486864"/>
    <w:rsid w:val="00496F6D"/>
    <w:rsid w:val="004A19EA"/>
    <w:rsid w:val="004B44C9"/>
    <w:rsid w:val="004B638B"/>
    <w:rsid w:val="00515553"/>
    <w:rsid w:val="005319A4"/>
    <w:rsid w:val="00571E60"/>
    <w:rsid w:val="005720D7"/>
    <w:rsid w:val="00595A7E"/>
    <w:rsid w:val="005B67E9"/>
    <w:rsid w:val="005C42F6"/>
    <w:rsid w:val="005D422B"/>
    <w:rsid w:val="00603AD9"/>
    <w:rsid w:val="00611C08"/>
    <w:rsid w:val="006547B5"/>
    <w:rsid w:val="00711847"/>
    <w:rsid w:val="00727966"/>
    <w:rsid w:val="007314F3"/>
    <w:rsid w:val="00731AF1"/>
    <w:rsid w:val="007374AD"/>
    <w:rsid w:val="007508F0"/>
    <w:rsid w:val="00766DEE"/>
    <w:rsid w:val="0077272E"/>
    <w:rsid w:val="00777903"/>
    <w:rsid w:val="007875DD"/>
    <w:rsid w:val="007B22DC"/>
    <w:rsid w:val="007C7EAE"/>
    <w:rsid w:val="007D42F6"/>
    <w:rsid w:val="00813F09"/>
    <w:rsid w:val="0083651E"/>
    <w:rsid w:val="00846024"/>
    <w:rsid w:val="008723C6"/>
    <w:rsid w:val="008B2BB0"/>
    <w:rsid w:val="009006F8"/>
    <w:rsid w:val="009270A4"/>
    <w:rsid w:val="0096380A"/>
    <w:rsid w:val="009C463D"/>
    <w:rsid w:val="009E5F50"/>
    <w:rsid w:val="009F5AFE"/>
    <w:rsid w:val="00A107F9"/>
    <w:rsid w:val="00A23C09"/>
    <w:rsid w:val="00A52B76"/>
    <w:rsid w:val="00A63C72"/>
    <w:rsid w:val="00A66A38"/>
    <w:rsid w:val="00AF24C1"/>
    <w:rsid w:val="00B046DC"/>
    <w:rsid w:val="00B41AF6"/>
    <w:rsid w:val="00B44E7C"/>
    <w:rsid w:val="00BC782C"/>
    <w:rsid w:val="00BF6D07"/>
    <w:rsid w:val="00C16D00"/>
    <w:rsid w:val="00C53EFA"/>
    <w:rsid w:val="00C54227"/>
    <w:rsid w:val="00C70311"/>
    <w:rsid w:val="00C83AA5"/>
    <w:rsid w:val="00CB0346"/>
    <w:rsid w:val="00CF5A6F"/>
    <w:rsid w:val="00D06857"/>
    <w:rsid w:val="00D10994"/>
    <w:rsid w:val="00D47835"/>
    <w:rsid w:val="00D95FEC"/>
    <w:rsid w:val="00D97F5C"/>
    <w:rsid w:val="00DC7B64"/>
    <w:rsid w:val="00DC7F83"/>
    <w:rsid w:val="00E20A16"/>
    <w:rsid w:val="00E6241A"/>
    <w:rsid w:val="00EA5009"/>
    <w:rsid w:val="00EC22E7"/>
    <w:rsid w:val="00ED5525"/>
    <w:rsid w:val="00F0468E"/>
    <w:rsid w:val="00F21ABE"/>
    <w:rsid w:val="00F41AC3"/>
    <w:rsid w:val="00F620A7"/>
    <w:rsid w:val="00FE6D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07722EB-9745-4FE6-866D-B358215D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B44C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B44C9"/>
  </w:style>
  <w:style w:type="paragraph" w:styleId="Rodap">
    <w:name w:val="footer"/>
    <w:basedOn w:val="Normal"/>
    <w:link w:val="RodapCarter"/>
    <w:uiPriority w:val="99"/>
    <w:unhideWhenUsed/>
    <w:rsid w:val="004B44C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B44C9"/>
  </w:style>
  <w:style w:type="table" w:styleId="Tabelacomgrelha">
    <w:name w:val="Table Grid"/>
    <w:basedOn w:val="Tabelanormal"/>
    <w:uiPriority w:val="39"/>
    <w:rsid w:val="00531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basedOn w:val="Tipodeletrapredefinidodopargrafo"/>
    <w:uiPriority w:val="99"/>
    <w:semiHidden/>
    <w:unhideWhenUsed/>
    <w:rsid w:val="00317C25"/>
  </w:style>
  <w:style w:type="paragraph" w:styleId="PargrafodaLista">
    <w:name w:val="List Paragraph"/>
    <w:basedOn w:val="Normal"/>
    <w:uiPriority w:val="34"/>
    <w:qFormat/>
    <w:rsid w:val="00D97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CE195-01E7-4933-8E6A-1EFB1B34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Pages>
  <Words>787</Words>
  <Characters>4255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Conselho de Arquitetura e Urbanismo de Minas Gerais</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 A.S. Santos</dc:creator>
  <cp:keywords/>
  <dc:description/>
  <cp:lastModifiedBy>Tadeu A.S. Santos</cp:lastModifiedBy>
  <cp:revision>59</cp:revision>
  <dcterms:created xsi:type="dcterms:W3CDTF">2016-03-24T12:44:00Z</dcterms:created>
  <dcterms:modified xsi:type="dcterms:W3CDTF">2016-08-19T14:09:00Z</dcterms:modified>
</cp:coreProperties>
</file>