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  <w:r w:rsidRPr="00012B72">
        <w:rPr>
          <w:rFonts w:ascii="Cambria" w:hAnsi="Cambria"/>
          <w:b/>
          <w:caps/>
          <w:sz w:val="24"/>
        </w:rPr>
        <w:t>Conselho de Arquitetura e Urbanismo de Minas Gerais</w:t>
      </w:r>
    </w:p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8"/>
        </w:rPr>
      </w:pPr>
      <w:r w:rsidRPr="00012B72">
        <w:rPr>
          <w:rFonts w:ascii="Cambria" w:hAnsi="Cambria"/>
          <w:b/>
          <w:caps/>
          <w:sz w:val="28"/>
        </w:rPr>
        <w:t>Comissão de Exercício Profissional</w:t>
      </w:r>
    </w:p>
    <w:p w:rsidR="00F620A7" w:rsidRPr="00F620A7" w:rsidRDefault="00F620A7" w:rsidP="00A107F9">
      <w:pPr>
        <w:suppressLineNumbers/>
        <w:spacing w:after="0" w:line="240" w:lineRule="auto"/>
        <w:jc w:val="center"/>
        <w:rPr>
          <w:rFonts w:ascii="Cambria" w:hAnsi="Cambria"/>
          <w:b/>
          <w:caps/>
          <w:sz w:val="10"/>
          <w:szCs w:val="10"/>
        </w:rPr>
      </w:pPr>
    </w:p>
    <w:tbl>
      <w:tblPr>
        <w:tblStyle w:val="Tabelacomgrelha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F620A7" w:rsidRPr="00F620A7" w:rsidTr="00FE6DEB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20A7" w:rsidRPr="00A107F9" w:rsidRDefault="00F620A7" w:rsidP="0077272E">
            <w:pPr>
              <w:suppressLineNumbers/>
              <w:jc w:val="center"/>
              <w:rPr>
                <w:rFonts w:ascii="Cambria" w:hAnsi="Cambria"/>
                <w:b/>
                <w:caps/>
                <w:sz w:val="26"/>
                <w:szCs w:val="26"/>
              </w:rPr>
            </w:pPr>
            <w:r w:rsidRPr="00A107F9">
              <w:rPr>
                <w:rFonts w:ascii="Cambria" w:hAnsi="Cambria"/>
                <w:b/>
                <w:caps/>
                <w:sz w:val="26"/>
                <w:szCs w:val="26"/>
              </w:rPr>
              <w:t>Deliberação 0</w:t>
            </w:r>
            <w:r w:rsidR="0077272E">
              <w:rPr>
                <w:rFonts w:ascii="Cambria" w:hAnsi="Cambria"/>
                <w:b/>
                <w:caps/>
                <w:sz w:val="26"/>
                <w:szCs w:val="26"/>
              </w:rPr>
              <w:t>5</w:t>
            </w:r>
            <w:r w:rsidRPr="00A107F9">
              <w:rPr>
                <w:rFonts w:ascii="Cambria" w:hAnsi="Cambria"/>
                <w:b/>
                <w:caps/>
                <w:sz w:val="26"/>
                <w:szCs w:val="26"/>
              </w:rPr>
              <w:t>/2016</w:t>
            </w:r>
          </w:p>
        </w:tc>
      </w:tr>
    </w:tbl>
    <w:p w:rsidR="00F620A7" w:rsidRDefault="00F620A7" w:rsidP="00DC7F83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</w:p>
    <w:tbl>
      <w:tblPr>
        <w:tblStyle w:val="Tabelacomgrelha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107F9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A107F9" w:rsidRPr="00C54227" w:rsidRDefault="00A107F9" w:rsidP="00A107F9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vAlign w:val="center"/>
          </w:tcPr>
          <w:p w:rsidR="00A107F9" w:rsidRPr="00A23C09" w:rsidRDefault="00A23C09" w:rsidP="00A107F9">
            <w:pPr>
              <w:suppressLineNumbers/>
              <w:rPr>
                <w:rFonts w:ascii="Cambria" w:hAnsi="Cambria"/>
              </w:rPr>
            </w:pPr>
            <w:r w:rsidRPr="00A23C09">
              <w:rPr>
                <w:rFonts w:ascii="Cambria" w:hAnsi="Cambria"/>
              </w:rPr>
              <w:t>Em</w:t>
            </w:r>
            <w:r>
              <w:rPr>
                <w:rFonts w:ascii="Cambria" w:hAnsi="Cambria"/>
              </w:rPr>
              <w:t>issão de CAT-A para profissionais vinculados a empresas inadimplentes.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E5F50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Setor de Certidão de Acervo Técnico da Gerência Técnica do CAU/MG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>
              <w:rPr>
                <w:rFonts w:ascii="Cambria" w:hAnsi="Cambria"/>
                <w:caps/>
                <w:sz w:val="21"/>
                <w:szCs w:val="21"/>
              </w:rPr>
              <w:t>referência:</w:t>
            </w:r>
          </w:p>
        </w:tc>
        <w:tc>
          <w:tcPr>
            <w:tcW w:w="7796" w:type="dxa"/>
            <w:vAlign w:val="center"/>
          </w:tcPr>
          <w:p w:rsidR="009E5F50" w:rsidRPr="00A23C09" w:rsidRDefault="008B2BB0" w:rsidP="009E5F50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Memorando </w:t>
            </w:r>
            <w:r w:rsidRPr="008B2BB0">
              <w:rPr>
                <w:rFonts w:ascii="Cambria" w:hAnsi="Cambria"/>
              </w:rPr>
              <w:t>001/2016 – GERTEC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E5F50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19/04/2016</w:t>
            </w:r>
          </w:p>
        </w:tc>
      </w:tr>
    </w:tbl>
    <w:p w:rsidR="00F620A7" w:rsidRPr="009270A4" w:rsidRDefault="00F620A7" w:rsidP="00C54227">
      <w:pPr>
        <w:suppressLineNumbers/>
        <w:spacing w:after="0" w:line="240" w:lineRule="auto"/>
        <w:jc w:val="both"/>
        <w:rPr>
          <w:rFonts w:ascii="Cambria" w:hAnsi="Cambria"/>
        </w:rPr>
      </w:pPr>
    </w:p>
    <w:p w:rsidR="00394E58" w:rsidRPr="009270A4" w:rsidRDefault="00A66A38" w:rsidP="00A63C72">
      <w:pPr>
        <w:suppressLineNumbers/>
        <w:spacing w:line="276" w:lineRule="auto"/>
        <w:jc w:val="both"/>
        <w:rPr>
          <w:rFonts w:ascii="Cambria" w:hAnsi="Cambria"/>
          <w:b/>
        </w:rPr>
      </w:pPr>
      <w:r w:rsidRPr="009270A4">
        <w:rPr>
          <w:rFonts w:ascii="Cambria" w:hAnsi="Cambria"/>
          <w:b/>
        </w:rPr>
        <w:t>RELATÓRIO</w:t>
      </w:r>
    </w:p>
    <w:p w:rsidR="00394E58" w:rsidRPr="009270A4" w:rsidRDefault="00394E58" w:rsidP="00D47835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>Trata-se de</w:t>
      </w:r>
      <w:r w:rsidR="002A523F" w:rsidRPr="009270A4">
        <w:rPr>
          <w:rFonts w:ascii="Cambria" w:hAnsi="Cambria"/>
        </w:rPr>
        <w:t xml:space="preserve"> definição de parâmetros para análises pelo Setor de Certidão de Acervo Técnico (TEC-CAT) em casos onde a pessoa jurídica contratada encontra-se em situação de inadimplência junto ao Conselho Profissional.</w:t>
      </w:r>
    </w:p>
    <w:p w:rsidR="002A523F" w:rsidRPr="009270A4" w:rsidRDefault="002A523F" w:rsidP="00D47835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>O analista responsável</w:t>
      </w:r>
      <w:r w:rsidR="00201A8E" w:rsidRPr="009270A4">
        <w:rPr>
          <w:rFonts w:ascii="Cambria" w:hAnsi="Cambria"/>
        </w:rPr>
        <w:t xml:space="preserve"> pelo setor</w:t>
      </w:r>
      <w:r w:rsidRPr="009270A4">
        <w:rPr>
          <w:rFonts w:ascii="Cambria" w:hAnsi="Cambria"/>
        </w:rPr>
        <w:t xml:space="preserve"> informa que chegaram ao TEC-CAT situações onde profissionais</w:t>
      </w:r>
      <w:r w:rsidR="00A63C72">
        <w:rPr>
          <w:rFonts w:ascii="Cambria" w:hAnsi="Cambria"/>
        </w:rPr>
        <w:t>, requerentes de</w:t>
      </w:r>
      <w:r w:rsidR="00A63C72" w:rsidRPr="00A63C72">
        <w:t xml:space="preserve"> </w:t>
      </w:r>
      <w:r w:rsidR="00A63C72" w:rsidRPr="00A63C72">
        <w:rPr>
          <w:rFonts w:ascii="Cambria" w:hAnsi="Cambria"/>
        </w:rPr>
        <w:t>Certidões de Acer</w:t>
      </w:r>
      <w:r w:rsidR="00A63C72">
        <w:rPr>
          <w:rFonts w:ascii="Cambria" w:hAnsi="Cambria"/>
        </w:rPr>
        <w:t xml:space="preserve">to Técnico com Atestado (CAT-A), </w:t>
      </w:r>
      <w:r w:rsidRPr="009270A4">
        <w:rPr>
          <w:rFonts w:ascii="Cambria" w:hAnsi="Cambria"/>
        </w:rPr>
        <w:t xml:space="preserve">alegam não </w:t>
      </w:r>
      <w:r w:rsidR="00201A8E" w:rsidRPr="009270A4">
        <w:rPr>
          <w:rFonts w:ascii="Cambria" w:hAnsi="Cambria"/>
        </w:rPr>
        <w:t>conseguir concluir a emissão do documento pois, ainda que estejam em dia com o Conselho, a empresa a qual estão vinculados possui anuidades em atraso, não sendo os arquitetos sócios ou responsáveis pela pessoa jurídica, apenas funcionários.</w:t>
      </w:r>
    </w:p>
    <w:p w:rsidR="002113A2" w:rsidRPr="009270A4" w:rsidRDefault="002113A2" w:rsidP="00D47835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 xml:space="preserve">Solicita, por fim, definição do procedimento a ser adotado em casos semelhantes, uma vez que a solicitações semelhantes tem sido recorrentemente </w:t>
      </w:r>
      <w:proofErr w:type="gramStart"/>
      <w:r w:rsidRPr="009270A4">
        <w:rPr>
          <w:rFonts w:ascii="Cambria" w:hAnsi="Cambria"/>
        </w:rPr>
        <w:t>encaminhadas</w:t>
      </w:r>
      <w:proofErr w:type="gramEnd"/>
      <w:r w:rsidRPr="009270A4">
        <w:rPr>
          <w:rFonts w:ascii="Cambria" w:hAnsi="Cambria"/>
        </w:rPr>
        <w:t xml:space="preserve"> </w:t>
      </w:r>
      <w:r w:rsidR="007314F3" w:rsidRPr="009270A4">
        <w:rPr>
          <w:rFonts w:ascii="Cambria" w:hAnsi="Cambria"/>
        </w:rPr>
        <w:t>ao</w:t>
      </w:r>
      <w:r w:rsidR="00D47835" w:rsidRPr="009270A4">
        <w:rPr>
          <w:rFonts w:ascii="Cambria" w:hAnsi="Cambria"/>
        </w:rPr>
        <w:t xml:space="preserve"> referido setor.</w:t>
      </w:r>
    </w:p>
    <w:p w:rsidR="00394E58" w:rsidRPr="009270A4" w:rsidRDefault="00394E58" w:rsidP="002A523F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9270A4" w:rsidRDefault="00394E58" w:rsidP="00D47835">
      <w:pPr>
        <w:suppressLineNumbers/>
        <w:spacing w:line="276" w:lineRule="auto"/>
        <w:jc w:val="both"/>
        <w:rPr>
          <w:rFonts w:ascii="Cambria" w:hAnsi="Cambria"/>
          <w:b/>
        </w:rPr>
      </w:pPr>
      <w:r w:rsidRPr="009270A4">
        <w:rPr>
          <w:rFonts w:ascii="Cambria" w:hAnsi="Cambria"/>
          <w:b/>
        </w:rPr>
        <w:t>FUNDAMENTAÇÃO LEGAL</w:t>
      </w:r>
    </w:p>
    <w:p w:rsidR="00A66A38" w:rsidRPr="009270A4" w:rsidRDefault="00D47835" w:rsidP="00D47835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 xml:space="preserve">Lei </w:t>
      </w:r>
      <w:r w:rsidR="006547B5" w:rsidRPr="009270A4">
        <w:rPr>
          <w:rFonts w:ascii="Cambria" w:hAnsi="Cambria"/>
        </w:rPr>
        <w:t xml:space="preserve">Federal </w:t>
      </w:r>
      <w:r w:rsidRPr="009270A4">
        <w:rPr>
          <w:rFonts w:ascii="Cambria" w:hAnsi="Cambria"/>
        </w:rPr>
        <w:t xml:space="preserve">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270A4">
        <w:rPr>
          <w:rFonts w:ascii="Cambria" w:hAnsi="Cambria"/>
        </w:rPr>
        <w:t>CAUs</w:t>
      </w:r>
      <w:proofErr w:type="spellEnd"/>
      <w:r w:rsidRPr="009270A4">
        <w:rPr>
          <w:rFonts w:ascii="Cambria" w:hAnsi="Cambria"/>
        </w:rPr>
        <w:t>; e dá outras providências;</w:t>
      </w:r>
    </w:p>
    <w:p w:rsidR="00D47835" w:rsidRPr="009270A4" w:rsidRDefault="00D47835" w:rsidP="00D47835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>Resolução nº 93</w:t>
      </w:r>
      <w:r w:rsidR="00480CAC" w:rsidRPr="00480CAC">
        <w:t xml:space="preserve"> </w:t>
      </w:r>
      <w:r w:rsidR="00480CAC" w:rsidRPr="00480CAC">
        <w:rPr>
          <w:rFonts w:ascii="Cambria" w:hAnsi="Cambria"/>
        </w:rPr>
        <w:t>do CAU/BR</w:t>
      </w:r>
      <w:r w:rsidRPr="009270A4">
        <w:rPr>
          <w:rFonts w:ascii="Cambria" w:hAnsi="Cambria"/>
        </w:rPr>
        <w:t>, de 07 de novembro de 2014, que dispõe sobre a emissão de certidões pelos Conselhos de Arquitetura e Urbanismo dos Estados e do Distrito Federal (CAU/UF) e dá outras providências.</w:t>
      </w:r>
    </w:p>
    <w:p w:rsidR="00D47835" w:rsidRPr="009270A4" w:rsidRDefault="00D47835" w:rsidP="002A523F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9270A4" w:rsidRDefault="00A66A38" w:rsidP="009270A4">
      <w:pPr>
        <w:suppressLineNumbers/>
        <w:spacing w:line="276" w:lineRule="auto"/>
        <w:jc w:val="both"/>
        <w:rPr>
          <w:rFonts w:ascii="Cambria" w:hAnsi="Cambria"/>
          <w:b/>
        </w:rPr>
      </w:pPr>
      <w:r w:rsidRPr="009270A4">
        <w:rPr>
          <w:rFonts w:ascii="Cambria" w:hAnsi="Cambria"/>
          <w:b/>
        </w:rPr>
        <w:t>FUNDAMENTAÇÃO TEMÁTICA</w:t>
      </w:r>
    </w:p>
    <w:p w:rsidR="00A52B76" w:rsidRPr="009270A4" w:rsidRDefault="006547B5" w:rsidP="009270A4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 xml:space="preserve">Considerando o Art. 52 da Lei Federal nº 12.378/2010, </w:t>
      </w:r>
      <w:r w:rsidR="00ED5525" w:rsidRPr="009270A4">
        <w:rPr>
          <w:rFonts w:ascii="Cambria" w:hAnsi="Cambria"/>
        </w:rPr>
        <w:t>onde</w:t>
      </w:r>
      <w:r w:rsidRPr="009270A4">
        <w:rPr>
          <w:rFonts w:ascii="Cambria" w:hAnsi="Cambria"/>
        </w:rPr>
        <w:t xml:space="preserve"> versa que “</w:t>
      </w:r>
      <w:r w:rsidRPr="009270A4">
        <w:rPr>
          <w:rFonts w:ascii="Cambria" w:hAnsi="Cambria"/>
          <w:i/>
        </w:rPr>
        <w:t xml:space="preserve">o atraso no pagamento de anuidade sujeita o responsável à suspensão do exercício profissional ou, no caso de pessoa jurídica, à proibição de prestar trabalhos na área da arquitetura e do urbanismo, mas não haverá cobrança judicial dos valores em atraso, protesto de dívida ou comunicação aos órgãos de proteção ao </w:t>
      </w:r>
      <w:r w:rsidR="00DC7B64" w:rsidRPr="009270A4">
        <w:rPr>
          <w:rFonts w:ascii="Cambria" w:hAnsi="Cambria"/>
          <w:i/>
        </w:rPr>
        <w:t>crédito</w:t>
      </w:r>
      <w:r w:rsidR="00DC7B64" w:rsidRPr="009270A4">
        <w:rPr>
          <w:rFonts w:ascii="Cambria" w:hAnsi="Cambria"/>
        </w:rPr>
        <w:t>”;</w:t>
      </w:r>
    </w:p>
    <w:p w:rsidR="00A52B76" w:rsidRPr="009270A4" w:rsidRDefault="00A52B76" w:rsidP="009270A4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270A4">
        <w:rPr>
          <w:rFonts w:ascii="Cambria" w:hAnsi="Cambria"/>
        </w:rPr>
        <w:t>Considerando o Art. 11 da Resolução nº 93/2014, que</w:t>
      </w:r>
      <w:r w:rsidR="009270A4" w:rsidRPr="009270A4">
        <w:rPr>
          <w:rFonts w:ascii="Cambria" w:hAnsi="Cambria"/>
        </w:rPr>
        <w:t xml:space="preserve"> “</w:t>
      </w:r>
      <w:r w:rsidR="009270A4" w:rsidRPr="009270A4">
        <w:rPr>
          <w:rFonts w:ascii="Cambria" w:hAnsi="Cambria"/>
          <w:i/>
        </w:rPr>
        <w:t>em conformidade com o disposto no art. 30 da Lei n° 8.666, de 21 de junho de 1993, e para fins de habilitação em processos licitatórios, a comprovação de qualificação técnica da pessoa jurídica de Arquitetura e Urbanismo, de direito público ou privado, dar-se-á pelo conjunto d</w:t>
      </w:r>
      <w:bookmarkStart w:id="0" w:name="_GoBack"/>
      <w:bookmarkEnd w:id="0"/>
      <w:r w:rsidR="009270A4" w:rsidRPr="009270A4">
        <w:rPr>
          <w:rFonts w:ascii="Cambria" w:hAnsi="Cambria"/>
          <w:i/>
        </w:rPr>
        <w:t>e CAT-A emitidas em nome dos arquitetos e urbanistas integrantes de seu quadro permanente</w:t>
      </w:r>
      <w:r w:rsidR="009270A4" w:rsidRPr="009270A4">
        <w:rPr>
          <w:rFonts w:ascii="Cambria" w:hAnsi="Cambria"/>
        </w:rPr>
        <w:t>”.</w:t>
      </w:r>
    </w:p>
    <w:p w:rsidR="008B2BB0" w:rsidRDefault="008B2BB0" w:rsidP="002A523F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9270A4" w:rsidRDefault="00A66A38" w:rsidP="002A523F">
      <w:pPr>
        <w:suppressLineNumbers/>
        <w:spacing w:after="0" w:line="276" w:lineRule="auto"/>
        <w:jc w:val="both"/>
        <w:rPr>
          <w:rFonts w:ascii="Cambria" w:hAnsi="Cambria"/>
          <w:b/>
        </w:rPr>
      </w:pPr>
      <w:r w:rsidRPr="009270A4">
        <w:rPr>
          <w:rFonts w:ascii="Cambria" w:hAnsi="Cambria"/>
          <w:b/>
        </w:rPr>
        <w:t>DELIBERAÇÃO</w:t>
      </w:r>
    </w:p>
    <w:p w:rsidR="00A66A38" w:rsidRPr="009270A4" w:rsidRDefault="00A66A38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A66A38" w:rsidRDefault="006547B5" w:rsidP="006547B5">
      <w:pPr>
        <w:suppressLineNumbers/>
        <w:spacing w:after="0" w:line="276" w:lineRule="auto"/>
        <w:ind w:left="284"/>
        <w:jc w:val="both"/>
        <w:rPr>
          <w:rFonts w:ascii="Cambria" w:hAnsi="Cambria"/>
        </w:rPr>
      </w:pPr>
      <w:r w:rsidRPr="006547B5">
        <w:rPr>
          <w:rFonts w:ascii="Cambria" w:hAnsi="Cambria"/>
        </w:rPr>
        <w:t>A Comissão de Exercício Profissional</w:t>
      </w:r>
      <w:r w:rsidR="00012B72">
        <w:rPr>
          <w:rFonts w:ascii="Cambria" w:hAnsi="Cambria"/>
        </w:rPr>
        <w:t xml:space="preserve">, </w:t>
      </w:r>
      <w:r w:rsidR="00C83AA5">
        <w:rPr>
          <w:rFonts w:ascii="Cambria" w:hAnsi="Cambria"/>
        </w:rPr>
        <w:t>buscando</w:t>
      </w:r>
      <w:r w:rsidR="00012B72">
        <w:rPr>
          <w:rFonts w:ascii="Cambria" w:hAnsi="Cambria"/>
        </w:rPr>
        <w:t xml:space="preserve"> que não sejam prejudicados </w:t>
      </w:r>
      <w:r w:rsidR="00C83AA5">
        <w:rPr>
          <w:rFonts w:ascii="Cambria" w:hAnsi="Cambria"/>
        </w:rPr>
        <w:t xml:space="preserve">os </w:t>
      </w:r>
      <w:r w:rsidR="00012B72">
        <w:rPr>
          <w:rFonts w:ascii="Cambria" w:hAnsi="Cambria"/>
        </w:rPr>
        <w:t xml:space="preserve">profissionais </w:t>
      </w:r>
      <w:r w:rsidR="00C83AA5">
        <w:rPr>
          <w:rFonts w:ascii="Cambria" w:hAnsi="Cambria"/>
        </w:rPr>
        <w:t xml:space="preserve">autônomos </w:t>
      </w:r>
      <w:r w:rsidR="00012B72">
        <w:rPr>
          <w:rFonts w:ascii="Cambria" w:hAnsi="Cambria"/>
        </w:rPr>
        <w:t>que participam de certames licitatórios,</w:t>
      </w:r>
      <w:r w:rsidRPr="006547B5">
        <w:rPr>
          <w:rFonts w:ascii="Cambria" w:hAnsi="Cambria"/>
        </w:rPr>
        <w:t xml:space="preserve"> deliber</w:t>
      </w:r>
      <w:r>
        <w:rPr>
          <w:rFonts w:ascii="Cambria" w:hAnsi="Cambria"/>
        </w:rPr>
        <w:t>a</w:t>
      </w:r>
      <w:r w:rsidR="00012B72">
        <w:rPr>
          <w:rFonts w:ascii="Cambria" w:hAnsi="Cambria"/>
        </w:rPr>
        <w:t xml:space="preserve"> para que sejam emitidas as </w:t>
      </w:r>
      <w:r w:rsidR="00012B72" w:rsidRPr="009E5F50">
        <w:rPr>
          <w:rFonts w:ascii="Cambria" w:hAnsi="Cambria"/>
        </w:rPr>
        <w:t>Certidões de Acerto Técnico com Atestado</w:t>
      </w:r>
      <w:r w:rsidR="00C83AA5">
        <w:rPr>
          <w:rFonts w:ascii="Cambria" w:hAnsi="Cambria"/>
        </w:rPr>
        <w:t xml:space="preserve"> (CAT-A)</w:t>
      </w:r>
      <w:r w:rsidR="00012B72">
        <w:rPr>
          <w:rFonts w:ascii="Cambria" w:hAnsi="Cambria"/>
        </w:rPr>
        <w:t xml:space="preserve"> para os </w:t>
      </w:r>
      <w:r w:rsidR="00C83AA5">
        <w:rPr>
          <w:rFonts w:ascii="Cambria" w:hAnsi="Cambria"/>
        </w:rPr>
        <w:t xml:space="preserve">todos </w:t>
      </w:r>
      <w:r w:rsidR="00012B72">
        <w:rPr>
          <w:rFonts w:ascii="Cambria" w:hAnsi="Cambria"/>
        </w:rPr>
        <w:t xml:space="preserve">requerentes em situação de regularidade com o </w:t>
      </w:r>
      <w:r w:rsidR="00012B72" w:rsidRPr="00012B72">
        <w:rPr>
          <w:rFonts w:ascii="Cambria" w:hAnsi="Cambria"/>
        </w:rPr>
        <w:t>Cons</w:t>
      </w:r>
      <w:r w:rsidR="00012B72">
        <w:rPr>
          <w:rFonts w:ascii="Cambria" w:hAnsi="Cambria"/>
        </w:rPr>
        <w:t xml:space="preserve">elho de Arquitetura e Urbanismo, ainda que as empresas às quais estejam vinculados não </w:t>
      </w:r>
      <w:r w:rsidR="00A63C72">
        <w:rPr>
          <w:rFonts w:ascii="Cambria" w:hAnsi="Cambria"/>
        </w:rPr>
        <w:t>se encontrem</w:t>
      </w:r>
      <w:r w:rsidR="00012B72">
        <w:rPr>
          <w:rFonts w:ascii="Cambria" w:hAnsi="Cambria"/>
        </w:rPr>
        <w:t xml:space="preserve"> regulares, </w:t>
      </w:r>
      <w:r w:rsidR="00A63C72">
        <w:rPr>
          <w:rFonts w:ascii="Cambria" w:hAnsi="Cambria"/>
        </w:rPr>
        <w:t>devendo constar</w:t>
      </w:r>
      <w:r w:rsidR="00C83AA5">
        <w:rPr>
          <w:rFonts w:ascii="Cambria" w:hAnsi="Cambria"/>
        </w:rPr>
        <w:t xml:space="preserve"> – n</w:t>
      </w:r>
      <w:r w:rsidR="00A63C72">
        <w:rPr>
          <w:rFonts w:ascii="Cambria" w:hAnsi="Cambria"/>
        </w:rPr>
        <w:t>o campo de descrição do RRT que motiva a CAT-A</w:t>
      </w:r>
      <w:r w:rsidR="00C83AA5">
        <w:rPr>
          <w:rFonts w:ascii="Cambria" w:hAnsi="Cambria"/>
        </w:rPr>
        <w:t xml:space="preserve"> – a </w:t>
      </w:r>
      <w:r w:rsidR="00A63C72">
        <w:rPr>
          <w:rFonts w:ascii="Cambria" w:hAnsi="Cambria"/>
        </w:rPr>
        <w:t xml:space="preserve">ratificação de vinculação entre as partes, caso esta </w:t>
      </w:r>
      <w:r w:rsidR="00C83AA5">
        <w:rPr>
          <w:rFonts w:ascii="Cambria" w:hAnsi="Cambria"/>
        </w:rPr>
        <w:t>esteja inserida</w:t>
      </w:r>
      <w:r w:rsidR="00A63C72">
        <w:rPr>
          <w:rFonts w:ascii="Cambria" w:hAnsi="Cambria"/>
        </w:rPr>
        <w:t xml:space="preserve"> no atestado fornecido pelo contratante, </w:t>
      </w:r>
      <w:r w:rsidR="00A63C72" w:rsidRPr="009E5F50">
        <w:rPr>
          <w:rFonts w:ascii="Cambria" w:hAnsi="Cambria"/>
        </w:rPr>
        <w:t>preservando</w:t>
      </w:r>
      <w:r w:rsidR="00A63C72">
        <w:rPr>
          <w:rFonts w:ascii="Cambria" w:hAnsi="Cambria"/>
        </w:rPr>
        <w:t>-se</w:t>
      </w:r>
      <w:r w:rsidR="00A63C72" w:rsidRPr="009E5F50">
        <w:rPr>
          <w:rFonts w:ascii="Cambria" w:hAnsi="Cambria"/>
        </w:rPr>
        <w:t xml:space="preserve"> informações sensíveis, como a inadimplência da pessoa jurídica, situação que deve ser demonstrada pela Certidão de Registro e Quitação da mesma</w:t>
      </w:r>
      <w:r w:rsidR="00A63C72">
        <w:rPr>
          <w:rFonts w:ascii="Cambria" w:hAnsi="Cambria"/>
        </w:rPr>
        <w:t>.</w:t>
      </w:r>
    </w:p>
    <w:p w:rsidR="00A63C72" w:rsidRDefault="00A63C72" w:rsidP="006547B5">
      <w:pPr>
        <w:suppressLineNumbers/>
        <w:spacing w:after="0" w:line="276" w:lineRule="auto"/>
        <w:ind w:left="284"/>
        <w:jc w:val="both"/>
        <w:rPr>
          <w:rFonts w:ascii="Cambria" w:hAnsi="Cambria"/>
        </w:rPr>
      </w:pPr>
    </w:p>
    <w:p w:rsidR="00A63C72" w:rsidRDefault="00A63C72" w:rsidP="006547B5">
      <w:pPr>
        <w:suppressLineNumbers/>
        <w:spacing w:after="0" w:line="276" w:lineRule="auto"/>
        <w:ind w:left="284"/>
        <w:jc w:val="both"/>
        <w:rPr>
          <w:rFonts w:ascii="Cambria" w:hAnsi="Cambria"/>
        </w:rPr>
      </w:pPr>
    </w:p>
    <w:p w:rsidR="00A63C72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Belo Horizonte, 19 de abril de 2016.</w:t>
      </w:r>
    </w:p>
    <w:p w:rsidR="00A63C72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</w:p>
    <w:p w:rsidR="00A63C72" w:rsidRPr="00394E58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</w:p>
    <w:p w:rsidR="00A66A38" w:rsidRPr="00394E58" w:rsidRDefault="00A66A38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tbl>
      <w:tblPr>
        <w:tblStyle w:val="Tabelacomgrelha"/>
        <w:tblW w:w="10284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515553" w:rsidRPr="001F369E" w:rsidTr="008B2BB0">
        <w:trPr>
          <w:trHeight w:val="566"/>
        </w:trPr>
        <w:tc>
          <w:tcPr>
            <w:tcW w:w="10284" w:type="dxa"/>
            <w:gridSpan w:val="6"/>
            <w:shd w:val="clear" w:color="auto" w:fill="BFBFBF" w:themeFill="background1" w:themeFillShade="BF"/>
            <w:vAlign w:val="center"/>
          </w:tcPr>
          <w:p w:rsidR="00515553" w:rsidRPr="0016621E" w:rsidRDefault="00515553" w:rsidP="00A107F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16621E">
              <w:rPr>
                <w:rFonts w:ascii="Cambria" w:hAnsi="Cambria"/>
                <w:b/>
                <w:szCs w:val="20"/>
              </w:rPr>
              <w:t>COMISSÃO DE EXERCÍCIO PROFISSIONAL</w:t>
            </w:r>
            <w:r>
              <w:rPr>
                <w:rFonts w:ascii="Cambria" w:hAnsi="Cambria"/>
                <w:b/>
                <w:szCs w:val="20"/>
              </w:rPr>
              <w:t xml:space="preserve"> DO CAU/MG – VOTAÇÃO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15553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15553">
              <w:rPr>
                <w:rFonts w:ascii="Cambria" w:hAnsi="Cambria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708E9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>PEDIDO</w:t>
            </w:r>
          </w:p>
          <w:p w:rsidR="005720D7" w:rsidRPr="005720D7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 xml:space="preserve">DE </w:t>
            </w:r>
            <w:r w:rsidR="005720D7" w:rsidRPr="005720D7">
              <w:rPr>
                <w:rFonts w:ascii="Cambria" w:hAnsi="Cambria"/>
                <w:sz w:val="16"/>
                <w:szCs w:val="17"/>
              </w:rPr>
              <w:t>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ASSINATURA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Júlio Guerra Torres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Roberto Pereira Andrade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 xml:space="preserve">Ariel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Luis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Lazzarin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Rose Meire Romano</w:t>
            </w:r>
          </w:p>
          <w:p w:rsidR="005720D7" w:rsidRPr="005720D7" w:rsidRDefault="005720D7" w:rsidP="00A107F9">
            <w:pPr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Mariella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de Pádua N</w:t>
            </w:r>
            <w:r>
              <w:rPr>
                <w:rFonts w:ascii="Cambria" w:hAnsi="Cambria"/>
                <w:sz w:val="17"/>
                <w:szCs w:val="17"/>
              </w:rPr>
              <w:t>.</w:t>
            </w:r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Betzel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Lemke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08E9" w:rsidRPr="004708E9" w:rsidTr="00C54227">
        <w:trPr>
          <w:trHeight w:val="566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8E9" w:rsidRDefault="004708E9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Coordenador(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82C" w:rsidRDefault="00BC782C" w:rsidP="00A107F9">
      <w:pPr>
        <w:suppressLineNumbers/>
        <w:spacing w:line="240" w:lineRule="auto"/>
        <w:jc w:val="both"/>
        <w:rPr>
          <w:rFonts w:ascii="Cambria" w:hAnsi="Cambria"/>
        </w:rPr>
      </w:pPr>
    </w:p>
    <w:sectPr w:rsidR="00BC782C" w:rsidSect="008B2BB0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C9" w:rsidRDefault="004B44C9" w:rsidP="004B44C9">
      <w:pPr>
        <w:spacing w:after="0" w:line="240" w:lineRule="auto"/>
      </w:pPr>
      <w:r>
        <w:separator/>
      </w:r>
    </w:p>
  </w:endnote>
  <w:endnote w:type="continuationSeparator" w:id="0">
    <w:p w:rsidR="004B44C9" w:rsidRDefault="004B44C9" w:rsidP="004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C9" w:rsidRDefault="004B44C9" w:rsidP="004B44C9">
      <w:pPr>
        <w:spacing w:after="0" w:line="240" w:lineRule="auto"/>
      </w:pPr>
      <w:r>
        <w:separator/>
      </w:r>
    </w:p>
  </w:footnote>
  <w:footnote w:type="continuationSeparator" w:id="0">
    <w:p w:rsidR="004B44C9" w:rsidRDefault="004B44C9" w:rsidP="004B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C9" w:rsidRPr="004B44C9" w:rsidRDefault="004B44C9" w:rsidP="004B44C9">
    <w:pPr>
      <w:pStyle w:val="Cabealho"/>
    </w:pPr>
    <w:r w:rsidRPr="004B44C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3800" cy="10670827"/>
          <wp:effectExtent l="0" t="0" r="0" b="0"/>
          <wp:wrapNone/>
          <wp:docPr id="1" name="Imagem 1" descr="C:\Users\tadeu.santos\Desktop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deu.santos\Desktop\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4"/>
    <w:rsid w:val="00012B72"/>
    <w:rsid w:val="00053F64"/>
    <w:rsid w:val="00100268"/>
    <w:rsid w:val="00111475"/>
    <w:rsid w:val="00135AD9"/>
    <w:rsid w:val="0016621E"/>
    <w:rsid w:val="001F369E"/>
    <w:rsid w:val="00201A8E"/>
    <w:rsid w:val="002113A2"/>
    <w:rsid w:val="00272AC4"/>
    <w:rsid w:val="002A523F"/>
    <w:rsid w:val="00317C25"/>
    <w:rsid w:val="00332B60"/>
    <w:rsid w:val="00394E58"/>
    <w:rsid w:val="003A5281"/>
    <w:rsid w:val="00432B1A"/>
    <w:rsid w:val="004708E9"/>
    <w:rsid w:val="00480CAC"/>
    <w:rsid w:val="00496F6D"/>
    <w:rsid w:val="004A19EA"/>
    <w:rsid w:val="004B44C9"/>
    <w:rsid w:val="004B638B"/>
    <w:rsid w:val="00515553"/>
    <w:rsid w:val="005319A4"/>
    <w:rsid w:val="005720D7"/>
    <w:rsid w:val="00595A7E"/>
    <w:rsid w:val="005B67E9"/>
    <w:rsid w:val="005D422B"/>
    <w:rsid w:val="00611C08"/>
    <w:rsid w:val="006547B5"/>
    <w:rsid w:val="00727966"/>
    <w:rsid w:val="007314F3"/>
    <w:rsid w:val="00731AF1"/>
    <w:rsid w:val="007374AD"/>
    <w:rsid w:val="007508F0"/>
    <w:rsid w:val="0077272E"/>
    <w:rsid w:val="00777903"/>
    <w:rsid w:val="007D42F6"/>
    <w:rsid w:val="00813F09"/>
    <w:rsid w:val="00846024"/>
    <w:rsid w:val="008723C6"/>
    <w:rsid w:val="008B2BB0"/>
    <w:rsid w:val="009006F8"/>
    <w:rsid w:val="009270A4"/>
    <w:rsid w:val="009C463D"/>
    <w:rsid w:val="009E5F50"/>
    <w:rsid w:val="009F5AFE"/>
    <w:rsid w:val="00A107F9"/>
    <w:rsid w:val="00A23C09"/>
    <w:rsid w:val="00A52B76"/>
    <w:rsid w:val="00A63C72"/>
    <w:rsid w:val="00A66A38"/>
    <w:rsid w:val="00B046DC"/>
    <w:rsid w:val="00B41AF6"/>
    <w:rsid w:val="00B44E7C"/>
    <w:rsid w:val="00BC782C"/>
    <w:rsid w:val="00BF6D07"/>
    <w:rsid w:val="00C16D00"/>
    <w:rsid w:val="00C53EFA"/>
    <w:rsid w:val="00C54227"/>
    <w:rsid w:val="00C83AA5"/>
    <w:rsid w:val="00CF5A6F"/>
    <w:rsid w:val="00D06857"/>
    <w:rsid w:val="00D10994"/>
    <w:rsid w:val="00D47835"/>
    <w:rsid w:val="00D95FEC"/>
    <w:rsid w:val="00DC7B64"/>
    <w:rsid w:val="00DC7F83"/>
    <w:rsid w:val="00E20A16"/>
    <w:rsid w:val="00E6241A"/>
    <w:rsid w:val="00EA5009"/>
    <w:rsid w:val="00EC22E7"/>
    <w:rsid w:val="00ED5525"/>
    <w:rsid w:val="00F0468E"/>
    <w:rsid w:val="00F41AC3"/>
    <w:rsid w:val="00F620A7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7722EB-9745-4FE6-866D-B358215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4C9"/>
  </w:style>
  <w:style w:type="paragraph" w:styleId="Rodap">
    <w:name w:val="footer"/>
    <w:basedOn w:val="Normal"/>
    <w:link w:val="Rodap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4C9"/>
  </w:style>
  <w:style w:type="table" w:styleId="Tabelacomgrelha">
    <w:name w:val="Table Grid"/>
    <w:basedOn w:val="Tabelanormal"/>
    <w:uiPriority w:val="39"/>
    <w:rsid w:val="005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31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17A0-348A-49D7-A5E7-B650024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 de Minas Gerais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Tadeu A.S. Santos</cp:lastModifiedBy>
  <cp:revision>47</cp:revision>
  <dcterms:created xsi:type="dcterms:W3CDTF">2016-03-24T12:44:00Z</dcterms:created>
  <dcterms:modified xsi:type="dcterms:W3CDTF">2016-04-11T14:06:00Z</dcterms:modified>
</cp:coreProperties>
</file>