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770E68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1D686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11</w:t>
            </w:r>
            <w:r w:rsidR="00142AC9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770E68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FB724B" w:rsidP="00FB724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22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janeiro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770E68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7003F" w:rsidP="00D700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IAB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 (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ua Mestre Lucas, 70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Cruzeiro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D7003F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3D2A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7F7247" w:rsidRPr="003D2A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3D2A07" w:rsidRPr="003D2A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5B1BF4" w:rsidRPr="003D2A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3D2A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770E68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D7003F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7003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D700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D700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7D2D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770E68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770E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</w:t>
            </w:r>
            <w:proofErr w:type="spellEnd"/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</w:t>
            </w:r>
            <w:proofErr w:type="spellStart"/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Stephan</w:t>
            </w:r>
            <w:proofErr w:type="spellEnd"/>
          </w:p>
        </w:tc>
        <w:tc>
          <w:tcPr>
            <w:tcW w:w="4415" w:type="dxa"/>
            <w:vAlign w:val="center"/>
          </w:tcPr>
          <w:p w:rsidR="00D2110C" w:rsidRPr="00D7003F" w:rsidRDefault="00770E68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</w:t>
            </w:r>
            <w:r w:rsidR="00B7369F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770E68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770E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770E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vAlign w:val="center"/>
          </w:tcPr>
          <w:p w:rsidR="00D2110C" w:rsidRPr="00D7003F" w:rsidRDefault="007D2D02" w:rsidP="00770E6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770E68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770E6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500492" w:rsidRDefault="00500492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770E68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7F7247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 w:rsidRPr="00770E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="00695867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dos</w:t>
            </w:r>
            <w:r w:rsidR="00B7369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membros da CEF-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convocados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770E6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FB724B" w:rsidRPr="00FB724B" w:rsidRDefault="00780D68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Comunicado sobre Memorando 01/2019 da </w:t>
            </w:r>
            <w:proofErr w:type="spellStart"/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Geplan</w:t>
            </w:r>
            <w:proofErr w:type="spellEnd"/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Protocolo SICCAU nº 804713/2019, que trata de “Sugestão de Indicadores para envio às Comissões, Gerências e Assessorias e material disponibilizado pela </w:t>
            </w:r>
            <w:proofErr w:type="spellStart"/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Geplan</w:t>
            </w:r>
            <w:proofErr w:type="spellEnd"/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-CAU/MG”;</w:t>
            </w:r>
          </w:p>
          <w:p w:rsidR="00FB724B" w:rsidRP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2.2. Comunicado sobre Memorando 02/2019 da </w:t>
            </w:r>
            <w:proofErr w:type="spellStart"/>
            <w:r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Geplan</w:t>
            </w:r>
            <w:proofErr w:type="spellEnd"/>
            <w:r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, Protocolo SICCAU nº 804726/2019, que trata de “Ações do Plano de Ação 2019-2020. (Rol de ações a serem desenvolvidas pelas Comissões, Gerências e Assessorias do CAU/MG para desdobramento do Plano de Ação 2019-2020 do CAU/MG)”.</w:t>
            </w:r>
          </w:p>
          <w:p w:rsidR="0039684B" w:rsidRP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2.3. Comunicado sobre a alteração da Coordenação da Comissão para o mandato 2019;</w:t>
            </w:r>
          </w:p>
        </w:tc>
      </w:tr>
      <w:tr w:rsidR="007D67C9" w:rsidRPr="00770E6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dezembro de 2018, Protocolos SICCAU nº 784562/2018;</w:t>
            </w:r>
          </w:p>
          <w:p w:rsidR="00142AC9" w:rsidRPr="00FB724B" w:rsidRDefault="00142AC9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3.2. Considerações sobre o Cronograma da Comissão para o exercício 2019;</w:t>
            </w:r>
          </w:p>
          <w:p w:rsidR="00D7003F" w:rsidRPr="00FB724B" w:rsidRDefault="00142AC9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3.3</w:t>
            </w:r>
            <w:r w:rsid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. </w:t>
            </w:r>
            <w:r w:rsidR="00FB724B" w:rsidRPr="00FB724B">
              <w:rPr>
                <w:rFonts w:asciiTheme="majorHAnsi" w:hAnsiTheme="majorHAnsi" w:cs="Arial"/>
                <w:sz w:val="20"/>
                <w:szCs w:val="20"/>
                <w:lang w:val="pt-BR"/>
              </w:rPr>
              <w:t>Considerações sobre o Edital da Premiação TCC 2019, conforme item 4.1 da Reunião nº 115/2018.</w:t>
            </w:r>
          </w:p>
        </w:tc>
      </w:tr>
      <w:tr w:rsidR="007D67C9" w:rsidRPr="00A20587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A4D5D" w:rsidRDefault="00A557ED" w:rsidP="00D7003F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A20587" w:rsidRDefault="00A20587" w:rsidP="00D7003F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      </w:t>
            </w:r>
          </w:p>
          <w:p w:rsidR="00A20587" w:rsidRDefault="00A20587" w:rsidP="00D7003F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       </w:t>
            </w:r>
            <w:r w:rsidRPr="00A20587">
              <w:rPr>
                <w:rFonts w:asciiTheme="majorHAnsi" w:hAnsiTheme="majorHAnsi" w:cs="Arial"/>
                <w:sz w:val="20"/>
                <w:szCs w:val="20"/>
                <w:lang w:val="pt-BR"/>
              </w:rPr>
              <w:t>4.1.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Discussões sobre a Portaria MEC nº 1.428, de 31 de dezembro de 2018, que aumenta o percentual mínimo       de disciplinas na modalidade à distância de 20 para 40%.</w:t>
            </w:r>
          </w:p>
          <w:p w:rsidR="00A20587" w:rsidRPr="00D7003F" w:rsidRDefault="00A20587" w:rsidP="00D7003F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D67C9" w:rsidRPr="00770E68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00492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28C9" w:rsidRPr="00580CF5" w:rsidRDefault="007D67C9" w:rsidP="004B28C9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="0082733B"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7F7247"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="00BF56AC"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3D2A07"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="005B1BF4"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Pr="003D2A0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A2058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C5847" w:rsidRPr="009313E1" w:rsidRDefault="008C5847" w:rsidP="008C5847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C5847" w:rsidRDefault="008C5847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770E6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Comunicado sobre Memorando 01/2019 da </w:t>
            </w:r>
            <w:proofErr w:type="spellStart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, Protocolo SICCAU nº 804713/2019, que trata de “Sugestão de Indicadores para envio às Comissões, Gerências e Assessorias e material disponibilizado pela </w:t>
            </w:r>
            <w:proofErr w:type="spellStart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-CAU/MG”;</w:t>
            </w:r>
          </w:p>
        </w:tc>
      </w:tr>
      <w:tr w:rsidR="000C6854" w:rsidRPr="00770E6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770E68" w:rsidP="00AE701F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Assessor Técnico da Comissão informou aos presentes sobre </w:t>
            </w:r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Memorando 01/2019 da </w:t>
            </w:r>
            <w:proofErr w:type="spellStart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Geplan</w:t>
            </w:r>
            <w:proofErr w:type="spellEnd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Protocolo SICCAU nº 804713/2019, que trata de “Sugestão de Indicadores para envio às Comissões, Gerências e Assessorias e material disponibilizado pela </w:t>
            </w:r>
            <w:proofErr w:type="spellStart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Geplan</w:t>
            </w:r>
            <w:proofErr w:type="spellEnd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”. Informou ainda que não há nenhum indicador específico para a CEF-CAU/MG, mas que apesar disso, irá encaminhar os arquivos</w:t>
            </w:r>
            <w:r w:rsidR="001D34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Memorando e anexos,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via e-mail para os membros da Comissão para conhecimento e possíveis considerações sobre seu conteúdo.</w:t>
            </w:r>
            <w:r w:rsidR="001449B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770E6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Comunicado sobre Memorando 02/2019 da </w:t>
            </w:r>
            <w:proofErr w:type="spellStart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, Protocolo SICCAU nº 804726/2019, que trata de “Ações do Plano de Ação 2019-2020. (Rol de ações a serem desenvolvidas pelas Comissões, Gerências e Assessorias do CAU/MG para desdobramento do Plano de Ação 2019-2020 do CAU/MG)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”.</w:t>
            </w:r>
          </w:p>
        </w:tc>
      </w:tr>
      <w:tr w:rsidR="000C6854" w:rsidRPr="00770E6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770E68" w:rsidP="00D7003F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Assessor Técnico da Comissão informou aos presentes sobre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Memorando 02/2019 da </w:t>
            </w:r>
            <w:proofErr w:type="spellStart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Geplan</w:t>
            </w:r>
            <w:proofErr w:type="spellEnd"/>
            <w:r w:rsidRPr="00770E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Protocolo SICCAU nº 804726/2019, que trata de “Ações do Plano de Ação 2019-2020. (Rol de ações a serem desenvolvidas pelas Comissões, Gerências e Assessorias do CAU/MG para desdobramento do Plano de Ação 2019-2020 do CAU/MG)”.</w:t>
            </w:r>
            <w:r w:rsidR="001D347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Informou que consta no documento as indicações para execução pela CEF-CAU/MG, além dos eventos já programados, o Programa CAU-Jovem. Informou que os arquivos, Memorando e anexos, também serão encaminhados para os membros da Comissão por e-mail para conhecimento.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770E68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FB724B" w:rsidRDefault="00FB724B" w:rsidP="006D181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2.3. Comunicado sobre a alteração da Coordenação da Comissão para o mandato 2019;</w:t>
            </w:r>
          </w:p>
        </w:tc>
      </w:tr>
      <w:tr w:rsidR="00A46343" w:rsidRPr="00770E68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0E48C6" w:rsidRDefault="00F15D67" w:rsidP="00F15D6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Conselheiro Ítalo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Stephan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membro titular da Comissão de Ensino e Formação do CAU/MG, comunicou para registro em Súmula, que na Reunião Plenária realizada em 21 de janeiro de 2019, foi eleita como Coordenadora da Comissão para o mandato de 2019 a Conselheira Luciana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 passa a coordenar as reuniões já a partir da presente data.</w:t>
            </w:r>
            <w:r w:rsidR="000D038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Informou ainda que ele assumirá a Coordenação Adjunta da Comissão.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B724B" w:rsidRPr="00770E68" w:rsidTr="000C274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B724B" w:rsidRPr="00FB724B" w:rsidRDefault="00FB724B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3.1. Aprovação dos Registros Profissionais Efetivados pelo Setor de Registro Profissional no mês de dezembro de 2018, Protocolos SICCAU nº 784562/2018;</w:t>
            </w:r>
          </w:p>
        </w:tc>
      </w:tr>
      <w:tr w:rsidR="00FB724B" w:rsidRPr="00770E68" w:rsidTr="000C274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FB724B" w:rsidRPr="000E48C6" w:rsidRDefault="00FB724B" w:rsidP="00F15D6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</w:t>
            </w:r>
            <w:r w:rsidR="00F15D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 relatório técnico apresentado pela Assessoria Técnica da CEF-CAU/MG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="00F15D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membros da Comissão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F15D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deliberaram pela aprovação dos Registros Profissionais efetivados pelo Setor de Registro Profissional do CAU/MG, mediante Deliberação CEF-CAU/MG nº 116.3.1/2018.</w:t>
            </w:r>
          </w:p>
        </w:tc>
      </w:tr>
    </w:tbl>
    <w:p w:rsidR="001D6866" w:rsidRPr="008E5A18" w:rsidRDefault="001D686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B724B" w:rsidRPr="00770E68" w:rsidTr="000C274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B724B" w:rsidRPr="00FB724B" w:rsidRDefault="00FB724B" w:rsidP="000C274D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="00142AC9" w:rsidRPr="00142AC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Considerações sobre o Cronograma da Comissão para o exercício 2019;</w:t>
            </w:r>
          </w:p>
        </w:tc>
      </w:tr>
      <w:tr w:rsidR="00FB724B" w:rsidRPr="00770E68" w:rsidTr="000C274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FB724B" w:rsidRPr="000E48C6" w:rsidRDefault="007902C6" w:rsidP="006A20A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Assessor Técnico realizou a leitura do item 4.1 da Súmula da Reunião nº 115/2018, que trata da minuta de cronograma da CEF-CAU/MG. Os membros da Comissão discutiram sobre as datas determinadas neste documento, analisando a necessidade de revisão. </w:t>
            </w:r>
            <w:r w:rsidR="002C3FF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Nessa revisão, foi resolvido que o julgamento dos trabalhos deve ser alterado</w:t>
            </w:r>
            <w:r w:rsidR="006A20A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 final do mês de julho, para o período entre a segunda quinzena do</w:t>
            </w:r>
            <w:r w:rsidR="002C3FF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mês</w:t>
            </w:r>
            <w:r w:rsidR="006A20A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agosto e a primeira quinzena de setembro de 2019</w:t>
            </w:r>
            <w:r w:rsidR="002C3FF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em data a definir</w:t>
            </w:r>
            <w:r w:rsidR="006A20A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de acordo com a agenda da Comissão Julgadora</w:t>
            </w:r>
            <w:r w:rsidR="004E286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com previsão de divulgação dos trabalhos finalistas para o dia 20 de setembro de 2019</w:t>
            </w:r>
            <w:r w:rsidR="002C3FF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  <w:r w:rsidR="006A20A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Sugeriu-se ainda pelo prolongamento do prazo de entrega dos trabalhos, alterando a data final de entrega do dia 14 de junho de 2019 para o dia 16 de agosto de 2019.</w:t>
            </w:r>
            <w:r w:rsidR="00FB724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FB724B" w:rsidRPr="008E5A18" w:rsidRDefault="00FB724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B724B" w:rsidRPr="00142AC9" w:rsidTr="000C274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B724B" w:rsidRPr="006D181B" w:rsidRDefault="00142AC9" w:rsidP="00FB724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FB724B" w:rsidRPr="006D18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Considerações sobre o Edital da Premiação TCC 2019, conforme item 4.1 da Reunião nº 115/2018.</w:t>
            </w:r>
          </w:p>
        </w:tc>
      </w:tr>
      <w:tr w:rsidR="00FB724B" w:rsidRPr="00770E68" w:rsidTr="000C274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24B" w:rsidRPr="009313E1" w:rsidRDefault="00FB724B" w:rsidP="000C274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DISCUSSÕES, DELIBERAÇÕES E </w:t>
            </w: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FB724B" w:rsidRPr="000E48C6" w:rsidRDefault="00FB724B" w:rsidP="000C274D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Após análise</w:t>
            </w:r>
            <w:r w:rsidR="003D2A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 edital do ano de 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CEF-CAU/MG</w:t>
            </w:r>
            <w:r w:rsidR="003D2A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já sugeriu algumas alterações, que começaram a ser compiladas pelo Assessor Técnico. O documento final será </w:t>
            </w:r>
            <w:r w:rsidR="003D2A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aprovado na reunião ordinária de fevereiro de 2019.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FB724B" w:rsidRPr="008E5A18" w:rsidRDefault="00FB724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8677B" w:rsidRPr="00FB724B" w:rsidTr="007D242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77B" w:rsidRPr="009313E1" w:rsidRDefault="0008677B" w:rsidP="007D24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8677B" w:rsidRPr="00FB724B" w:rsidRDefault="0008677B" w:rsidP="007D242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</w:t>
            </w:r>
            <w:r w:rsidRPr="00FB724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08677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Discussões sobre a Portaria MEC nº 1.428, de 31 de dezembro de 2018,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que aumenta o percentual mínimo </w:t>
            </w:r>
            <w:r w:rsidRPr="0008677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 disciplinas na modalidade à distância de 20 para 40%.</w:t>
            </w:r>
          </w:p>
        </w:tc>
      </w:tr>
      <w:tr w:rsidR="0008677B" w:rsidRPr="000E48C6" w:rsidTr="007D242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77B" w:rsidRPr="009313E1" w:rsidRDefault="0008677B" w:rsidP="007D24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8677B" w:rsidRPr="000E48C6" w:rsidRDefault="0008677B" w:rsidP="0008677B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Conselheira Iracema informa sobre a publicação de Portaria do MEC que possibilita o aumento do percentual mínimo de disciplinas ministradas na modalidade de ensino à distância pelos cursos de graduação presenciais. Pela Portaria, esse percentual passa de 20 para 40%, e são excluídos apenas os cursos das áreas da saúde e das engenharias. Dessa forma, o curso de graduação em arquitetura e urbanismo se enquadra dentre os quais poderá ocorrer essa ampliação das disciplinas à distância, o que acarreta em preocupação. A Conselheira Luciana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sugeriu que a matéria seja encaminhada para a Comissão de Ensino e Formação do CAU/BR, para conhecimento.</w:t>
            </w:r>
            <w:r w:rsidR="00447C1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Conselheira Iracema sugeriu o agendamento de uma reunião extraordinária</w:t>
            </w:r>
            <w:r w:rsidR="004F151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tratar desse assunto o quanto antes, de forma que a CEF-CAU/MG possa analisar essa Portaria e, se possível, produzir um documento de manifestação da Comissão para encaminhamento aos órgãos competentes.</w:t>
            </w:r>
            <w:r w:rsidR="0010353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membros da Comissão resolveram pela solicitação do agendamento de uma reunião extraordinário para o dia 11 de fevereiro de 2019, mediante aprovação do Conselho Diretor, que possui reunião prevista para o dia 04 de fevereiro de 2019.</w:t>
            </w:r>
          </w:p>
        </w:tc>
      </w:tr>
    </w:tbl>
    <w:p w:rsidR="0008677B" w:rsidRDefault="0008677B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A20587" w:rsidRDefault="00A20587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  <w:r w:rsidRPr="007F7247"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3D2A07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7F7247" w:rsidRPr="003D2A07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3D2A07" w:rsidRPr="003D2A07">
        <w:rPr>
          <w:rFonts w:asciiTheme="majorHAnsi" w:eastAsia="Times New Roman" w:hAnsiTheme="majorHAnsi"/>
          <w:color w:val="000000"/>
          <w:lang w:val="pt-BR" w:eastAsia="pt-BR"/>
        </w:rPr>
        <w:t>h3</w:t>
      </w:r>
      <w:r w:rsidR="00F01F23" w:rsidRPr="003D2A07">
        <w:rPr>
          <w:rFonts w:asciiTheme="majorHAnsi" w:eastAsia="Times New Roman" w:hAnsiTheme="majorHAnsi"/>
          <w:color w:val="000000"/>
          <w:lang w:val="pt-BR" w:eastAsia="pt-BR"/>
        </w:rPr>
        <w:t>0min</w:t>
      </w:r>
      <w:r w:rsidR="00F01F23" w:rsidRPr="007F7247">
        <w:rPr>
          <w:rFonts w:asciiTheme="majorHAnsi" w:eastAsia="Times New Roman" w:hAnsiTheme="majorHAnsi"/>
          <w:color w:val="000000"/>
          <w:lang w:val="pt-BR" w:eastAsia="pt-BR"/>
        </w:rPr>
        <w:t>, tendo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</w:t>
      </w:r>
      <w:proofErr w:type="gramStart"/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tratado, </w:t>
      </w:r>
      <w:r w:rsidR="006D181B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6D181B">
        <w:rPr>
          <w:rFonts w:asciiTheme="majorHAnsi" w:eastAsia="Times New Roman" w:hAnsiTheme="majorHAnsi"/>
          <w:color w:val="000000"/>
          <w:lang w:val="pt-BR" w:eastAsia="pt-BR"/>
        </w:rPr>
        <w:t>a adjunta</w:t>
      </w:r>
      <w:proofErr w:type="gramEnd"/>
      <w:r w:rsidR="001A5298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120C4">
        <w:rPr>
          <w:rFonts w:asciiTheme="majorHAnsi" w:eastAsia="Times New Roman" w:hAnsiTheme="majorHAnsi"/>
          <w:color w:val="000000"/>
          <w:lang w:val="pt-BR" w:eastAsia="pt-BR"/>
        </w:rPr>
        <w:t>encerrou a 11</w:t>
      </w:r>
      <w:r w:rsidR="006D181B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2C04F6" w:rsidRDefault="002C04F6" w:rsidP="00D2110C">
      <w:pPr>
        <w:rPr>
          <w:lang w:val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770E68" w:rsidRPr="00196462" w:rsidRDefault="00770E68" w:rsidP="00770E6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7003F">
        <w:rPr>
          <w:rFonts w:ascii="Arial" w:hAnsi="Arial" w:cs="Arial"/>
          <w:b/>
          <w:sz w:val="20"/>
          <w:szCs w:val="20"/>
          <w:lang w:val="pt-BR" w:eastAsia="pt-BR"/>
        </w:rPr>
        <w:t xml:space="preserve">Luciana Fonseca </w:t>
      </w:r>
      <w:proofErr w:type="spellStart"/>
      <w:r w:rsidRPr="00D7003F">
        <w:rPr>
          <w:rFonts w:ascii="Arial" w:hAnsi="Arial" w:cs="Arial"/>
          <w:b/>
          <w:sz w:val="20"/>
          <w:szCs w:val="20"/>
          <w:lang w:val="pt-BR" w:eastAsia="pt-BR"/>
        </w:rPr>
        <w:t>Canan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08677B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</w:t>
      </w:r>
    </w:p>
    <w:p w:rsidR="00770E68" w:rsidRDefault="00770E68" w:rsidP="00770E6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7003F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D7003F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D7003F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proofErr w:type="gramEnd"/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770E68" w:rsidRDefault="00770E68" w:rsidP="0010353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Pr="00196462" w:rsidRDefault="00770E68" w:rsidP="00770E6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770E68">
        <w:rPr>
          <w:rFonts w:ascii="Arial" w:hAnsi="Arial" w:cs="Arial"/>
          <w:b/>
          <w:sz w:val="20"/>
          <w:szCs w:val="20"/>
          <w:lang w:val="pt-BR" w:eastAsia="pt-BR"/>
        </w:rPr>
        <w:t>Italo</w:t>
      </w:r>
      <w:proofErr w:type="spellEnd"/>
      <w:r w:rsidRPr="00770E68">
        <w:rPr>
          <w:rFonts w:ascii="Arial" w:hAnsi="Arial" w:cs="Arial"/>
          <w:b/>
          <w:sz w:val="20"/>
          <w:szCs w:val="20"/>
          <w:lang w:val="pt-BR" w:eastAsia="pt-BR"/>
        </w:rPr>
        <w:t xml:space="preserve"> Itamar Caixeiro </w:t>
      </w:r>
      <w:proofErr w:type="spellStart"/>
      <w:r w:rsidRPr="00770E68">
        <w:rPr>
          <w:rFonts w:ascii="Arial" w:hAnsi="Arial" w:cs="Arial"/>
          <w:b/>
          <w:sz w:val="20"/>
          <w:szCs w:val="20"/>
          <w:lang w:val="pt-BR" w:eastAsia="pt-BR"/>
        </w:rPr>
        <w:t>Stephan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770E68" w:rsidRPr="00780D68" w:rsidRDefault="00770E68" w:rsidP="00770E6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770E68">
        <w:rPr>
          <w:rFonts w:ascii="Arial" w:hAnsi="Arial" w:cs="Arial"/>
          <w:sz w:val="16"/>
          <w:szCs w:val="16"/>
          <w:lang w:val="pt-BR" w:eastAsia="pt-BR"/>
        </w:rPr>
        <w:t>Luciana Bracarense Coimbra Veloso</w:t>
      </w:r>
      <w:r w:rsidRPr="00780D68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70E68" w:rsidRDefault="00770E68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16"/>
          <w:szCs w:val="16"/>
          <w:lang w:val="pt-BR" w:eastAsia="pt-BR"/>
        </w:rPr>
      </w:pPr>
    </w:p>
    <w:p w:rsidR="007D2D02" w:rsidRPr="00196462" w:rsidRDefault="007D2D02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770E68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</w:t>
      </w:r>
      <w:r w:rsidR="00770E68">
        <w:rPr>
          <w:rFonts w:ascii="Arial" w:hAnsi="Arial" w:cs="Arial"/>
          <w:sz w:val="16"/>
          <w:szCs w:val="16"/>
          <w:lang w:val="pt-BR" w:eastAsia="pt-BR"/>
        </w:rPr>
        <w:t xml:space="preserve">o CEF-CAU/MG)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770E68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7D2D02" w:rsidRDefault="007D2D02" w:rsidP="007D2D0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770E68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</w:t>
      </w: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3D0182" w:rsidRDefault="003D0182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9E0096" w:rsidRDefault="009E0096" w:rsidP="009E009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CEF-CAU/MG)   </w:t>
      </w:r>
      <w:r w:rsidR="001D686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08677B">
        <w:rPr>
          <w:rFonts w:ascii="Arial" w:hAnsi="Arial" w:cs="Arial"/>
          <w:sz w:val="16"/>
          <w:szCs w:val="16"/>
          <w:lang w:val="pt-BR" w:eastAsia="pt-BR"/>
        </w:rPr>
        <w:t xml:space="preserve">             __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E0096" w:rsidRDefault="009E0096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sectPr w:rsidR="009E0096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72" w:rsidRDefault="003A4472" w:rsidP="007E22C9">
      <w:r>
        <w:separator/>
      </w:r>
    </w:p>
  </w:endnote>
  <w:endnote w:type="continuationSeparator" w:id="0">
    <w:p w:rsidR="003A4472" w:rsidRDefault="003A447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72" w:rsidRDefault="003A4472" w:rsidP="007E22C9">
      <w:r>
        <w:separator/>
      </w:r>
    </w:p>
  </w:footnote>
  <w:footnote w:type="continuationSeparator" w:id="0">
    <w:p w:rsidR="003A4472" w:rsidRDefault="003A447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BBE2739"/>
    <w:multiLevelType w:val="hybridMultilevel"/>
    <w:tmpl w:val="DEF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F74BDF"/>
    <w:multiLevelType w:val="multilevel"/>
    <w:tmpl w:val="DCB49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7"/>
  </w:num>
  <w:num w:numId="4">
    <w:abstractNumId w:val="23"/>
  </w:num>
  <w:num w:numId="5">
    <w:abstractNumId w:val="14"/>
  </w:num>
  <w:num w:numId="6">
    <w:abstractNumId w:val="5"/>
  </w:num>
  <w:num w:numId="7">
    <w:abstractNumId w:val="42"/>
  </w:num>
  <w:num w:numId="8">
    <w:abstractNumId w:val="2"/>
  </w:num>
  <w:num w:numId="9">
    <w:abstractNumId w:val="4"/>
  </w:num>
  <w:num w:numId="10">
    <w:abstractNumId w:val="20"/>
  </w:num>
  <w:num w:numId="11">
    <w:abstractNumId w:val="40"/>
  </w:num>
  <w:num w:numId="12">
    <w:abstractNumId w:val="15"/>
  </w:num>
  <w:num w:numId="13">
    <w:abstractNumId w:val="25"/>
  </w:num>
  <w:num w:numId="14">
    <w:abstractNumId w:val="44"/>
  </w:num>
  <w:num w:numId="15">
    <w:abstractNumId w:val="18"/>
  </w:num>
  <w:num w:numId="16">
    <w:abstractNumId w:val="38"/>
  </w:num>
  <w:num w:numId="17">
    <w:abstractNumId w:val="13"/>
  </w:num>
  <w:num w:numId="18">
    <w:abstractNumId w:val="19"/>
  </w:num>
  <w:num w:numId="19">
    <w:abstractNumId w:val="30"/>
  </w:num>
  <w:num w:numId="20">
    <w:abstractNumId w:val="17"/>
  </w:num>
  <w:num w:numId="21">
    <w:abstractNumId w:val="31"/>
  </w:num>
  <w:num w:numId="22">
    <w:abstractNumId w:val="0"/>
  </w:num>
  <w:num w:numId="23">
    <w:abstractNumId w:val="8"/>
  </w:num>
  <w:num w:numId="24">
    <w:abstractNumId w:val="41"/>
  </w:num>
  <w:num w:numId="25">
    <w:abstractNumId w:val="3"/>
  </w:num>
  <w:num w:numId="26">
    <w:abstractNumId w:val="32"/>
  </w:num>
  <w:num w:numId="27">
    <w:abstractNumId w:val="34"/>
  </w:num>
  <w:num w:numId="28">
    <w:abstractNumId w:val="27"/>
  </w:num>
  <w:num w:numId="29">
    <w:abstractNumId w:val="29"/>
  </w:num>
  <w:num w:numId="30">
    <w:abstractNumId w:val="9"/>
  </w:num>
  <w:num w:numId="31">
    <w:abstractNumId w:val="10"/>
  </w:num>
  <w:num w:numId="32">
    <w:abstractNumId w:val="21"/>
  </w:num>
  <w:num w:numId="33">
    <w:abstractNumId w:val="33"/>
  </w:num>
  <w:num w:numId="34">
    <w:abstractNumId w:val="28"/>
  </w:num>
  <w:num w:numId="35">
    <w:abstractNumId w:val="16"/>
  </w:num>
  <w:num w:numId="36">
    <w:abstractNumId w:val="37"/>
  </w:num>
  <w:num w:numId="37">
    <w:abstractNumId w:val="36"/>
  </w:num>
  <w:num w:numId="38">
    <w:abstractNumId w:val="39"/>
  </w:num>
  <w:num w:numId="39">
    <w:abstractNumId w:val="26"/>
  </w:num>
  <w:num w:numId="40">
    <w:abstractNumId w:val="11"/>
  </w:num>
  <w:num w:numId="41">
    <w:abstractNumId w:val="35"/>
  </w:num>
  <w:num w:numId="42">
    <w:abstractNumId w:val="12"/>
  </w:num>
  <w:num w:numId="43">
    <w:abstractNumId w:val="1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2F33"/>
    <w:rsid w:val="00065DF8"/>
    <w:rsid w:val="00072E67"/>
    <w:rsid w:val="00080D73"/>
    <w:rsid w:val="0008677B"/>
    <w:rsid w:val="000871A5"/>
    <w:rsid w:val="000B0760"/>
    <w:rsid w:val="000B1835"/>
    <w:rsid w:val="000C6854"/>
    <w:rsid w:val="000D0381"/>
    <w:rsid w:val="000D0758"/>
    <w:rsid w:val="000E48C6"/>
    <w:rsid w:val="000F1656"/>
    <w:rsid w:val="000F3838"/>
    <w:rsid w:val="000F538A"/>
    <w:rsid w:val="00102BCC"/>
    <w:rsid w:val="00103535"/>
    <w:rsid w:val="00107335"/>
    <w:rsid w:val="00120BE0"/>
    <w:rsid w:val="00142AC9"/>
    <w:rsid w:val="001449B1"/>
    <w:rsid w:val="00150A2E"/>
    <w:rsid w:val="00162C3A"/>
    <w:rsid w:val="00165B7C"/>
    <w:rsid w:val="00172796"/>
    <w:rsid w:val="00176FDF"/>
    <w:rsid w:val="001777FD"/>
    <w:rsid w:val="001811CC"/>
    <w:rsid w:val="00182E2B"/>
    <w:rsid w:val="00185B37"/>
    <w:rsid w:val="0018741A"/>
    <w:rsid w:val="00191438"/>
    <w:rsid w:val="001964FB"/>
    <w:rsid w:val="001A5298"/>
    <w:rsid w:val="001A63D9"/>
    <w:rsid w:val="001B3DE5"/>
    <w:rsid w:val="001C1F5E"/>
    <w:rsid w:val="001C4F4D"/>
    <w:rsid w:val="001D347B"/>
    <w:rsid w:val="001D4890"/>
    <w:rsid w:val="001D6866"/>
    <w:rsid w:val="001E790A"/>
    <w:rsid w:val="001F12C7"/>
    <w:rsid w:val="001F296A"/>
    <w:rsid w:val="001F47EE"/>
    <w:rsid w:val="00201C1D"/>
    <w:rsid w:val="0020634E"/>
    <w:rsid w:val="00207388"/>
    <w:rsid w:val="002452E6"/>
    <w:rsid w:val="00254A9D"/>
    <w:rsid w:val="00266909"/>
    <w:rsid w:val="00275EEA"/>
    <w:rsid w:val="0028590F"/>
    <w:rsid w:val="0029057D"/>
    <w:rsid w:val="002B5ECE"/>
    <w:rsid w:val="002C04F6"/>
    <w:rsid w:val="002C2386"/>
    <w:rsid w:val="002C3FFE"/>
    <w:rsid w:val="002D159D"/>
    <w:rsid w:val="002D2CC5"/>
    <w:rsid w:val="002E07B7"/>
    <w:rsid w:val="002E7999"/>
    <w:rsid w:val="002F7C5D"/>
    <w:rsid w:val="003207AC"/>
    <w:rsid w:val="00322A47"/>
    <w:rsid w:val="00324600"/>
    <w:rsid w:val="003265F3"/>
    <w:rsid w:val="00331FD8"/>
    <w:rsid w:val="00351F90"/>
    <w:rsid w:val="00354377"/>
    <w:rsid w:val="003622CC"/>
    <w:rsid w:val="003744E3"/>
    <w:rsid w:val="00377201"/>
    <w:rsid w:val="0039684B"/>
    <w:rsid w:val="0039685E"/>
    <w:rsid w:val="003A3415"/>
    <w:rsid w:val="003A447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3C23"/>
    <w:rsid w:val="0041282B"/>
    <w:rsid w:val="00423DF3"/>
    <w:rsid w:val="00425709"/>
    <w:rsid w:val="00425908"/>
    <w:rsid w:val="00447C12"/>
    <w:rsid w:val="00452713"/>
    <w:rsid w:val="00454788"/>
    <w:rsid w:val="00456F37"/>
    <w:rsid w:val="00456FC0"/>
    <w:rsid w:val="004575FC"/>
    <w:rsid w:val="004606C3"/>
    <w:rsid w:val="00470560"/>
    <w:rsid w:val="00472FBB"/>
    <w:rsid w:val="00475EB9"/>
    <w:rsid w:val="00476E0F"/>
    <w:rsid w:val="00477BE7"/>
    <w:rsid w:val="00483C75"/>
    <w:rsid w:val="00485B63"/>
    <w:rsid w:val="00493453"/>
    <w:rsid w:val="004B28C9"/>
    <w:rsid w:val="004B4804"/>
    <w:rsid w:val="004C158D"/>
    <w:rsid w:val="004C4E8F"/>
    <w:rsid w:val="004D5A77"/>
    <w:rsid w:val="004E2836"/>
    <w:rsid w:val="004E2863"/>
    <w:rsid w:val="004E29BB"/>
    <w:rsid w:val="004E3172"/>
    <w:rsid w:val="004E4C07"/>
    <w:rsid w:val="004E534A"/>
    <w:rsid w:val="004F1512"/>
    <w:rsid w:val="004F18D0"/>
    <w:rsid w:val="004F1CD1"/>
    <w:rsid w:val="004F2D08"/>
    <w:rsid w:val="004F37C4"/>
    <w:rsid w:val="004F48E0"/>
    <w:rsid w:val="00500492"/>
    <w:rsid w:val="005008BD"/>
    <w:rsid w:val="00505AFD"/>
    <w:rsid w:val="005067A9"/>
    <w:rsid w:val="005122AA"/>
    <w:rsid w:val="00512685"/>
    <w:rsid w:val="00516EDB"/>
    <w:rsid w:val="00521F9C"/>
    <w:rsid w:val="005256F9"/>
    <w:rsid w:val="005301F1"/>
    <w:rsid w:val="00533A43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A159F"/>
    <w:rsid w:val="005B1BF4"/>
    <w:rsid w:val="005B4909"/>
    <w:rsid w:val="005D1468"/>
    <w:rsid w:val="005D24D3"/>
    <w:rsid w:val="005E5EC9"/>
    <w:rsid w:val="005E7381"/>
    <w:rsid w:val="005F3D29"/>
    <w:rsid w:val="00600DD6"/>
    <w:rsid w:val="00601495"/>
    <w:rsid w:val="0060744F"/>
    <w:rsid w:val="0061044E"/>
    <w:rsid w:val="00626459"/>
    <w:rsid w:val="00632110"/>
    <w:rsid w:val="00635414"/>
    <w:rsid w:val="00640D3C"/>
    <w:rsid w:val="006475A3"/>
    <w:rsid w:val="006476AB"/>
    <w:rsid w:val="006610D2"/>
    <w:rsid w:val="006956AA"/>
    <w:rsid w:val="00695867"/>
    <w:rsid w:val="006A20A4"/>
    <w:rsid w:val="006B4593"/>
    <w:rsid w:val="006B7634"/>
    <w:rsid w:val="006C121A"/>
    <w:rsid w:val="006C144A"/>
    <w:rsid w:val="006C418E"/>
    <w:rsid w:val="006C7CF0"/>
    <w:rsid w:val="006D12D3"/>
    <w:rsid w:val="006D1620"/>
    <w:rsid w:val="006D181B"/>
    <w:rsid w:val="006D3E06"/>
    <w:rsid w:val="006F5238"/>
    <w:rsid w:val="00705A21"/>
    <w:rsid w:val="00705B9A"/>
    <w:rsid w:val="007120C4"/>
    <w:rsid w:val="00712340"/>
    <w:rsid w:val="00713143"/>
    <w:rsid w:val="00716EE2"/>
    <w:rsid w:val="00722E5D"/>
    <w:rsid w:val="00725012"/>
    <w:rsid w:val="00741D49"/>
    <w:rsid w:val="00741D58"/>
    <w:rsid w:val="007469DB"/>
    <w:rsid w:val="007509AB"/>
    <w:rsid w:val="00751322"/>
    <w:rsid w:val="007568AB"/>
    <w:rsid w:val="00770E68"/>
    <w:rsid w:val="00775760"/>
    <w:rsid w:val="007767A2"/>
    <w:rsid w:val="00777E08"/>
    <w:rsid w:val="00780D68"/>
    <w:rsid w:val="00783A24"/>
    <w:rsid w:val="007902C6"/>
    <w:rsid w:val="0079756F"/>
    <w:rsid w:val="007A4D5D"/>
    <w:rsid w:val="007B26D1"/>
    <w:rsid w:val="007B42AF"/>
    <w:rsid w:val="007B58FE"/>
    <w:rsid w:val="007B6C99"/>
    <w:rsid w:val="007C4BE5"/>
    <w:rsid w:val="007C6F6B"/>
    <w:rsid w:val="007D2D02"/>
    <w:rsid w:val="007D5854"/>
    <w:rsid w:val="007D5D94"/>
    <w:rsid w:val="007D67C9"/>
    <w:rsid w:val="007E0DDE"/>
    <w:rsid w:val="007E22C9"/>
    <w:rsid w:val="007E4E9B"/>
    <w:rsid w:val="007E7492"/>
    <w:rsid w:val="007F461D"/>
    <w:rsid w:val="007F7247"/>
    <w:rsid w:val="007F7F3C"/>
    <w:rsid w:val="0080579D"/>
    <w:rsid w:val="00807F5F"/>
    <w:rsid w:val="00811CAD"/>
    <w:rsid w:val="00813D70"/>
    <w:rsid w:val="00817651"/>
    <w:rsid w:val="0082028E"/>
    <w:rsid w:val="008211CF"/>
    <w:rsid w:val="0082733B"/>
    <w:rsid w:val="0083491D"/>
    <w:rsid w:val="008520D3"/>
    <w:rsid w:val="00853A67"/>
    <w:rsid w:val="00854EFA"/>
    <w:rsid w:val="008620EC"/>
    <w:rsid w:val="00863FFC"/>
    <w:rsid w:val="008710D8"/>
    <w:rsid w:val="00871E2A"/>
    <w:rsid w:val="008843D6"/>
    <w:rsid w:val="00887096"/>
    <w:rsid w:val="00892C81"/>
    <w:rsid w:val="00894F54"/>
    <w:rsid w:val="00897C47"/>
    <w:rsid w:val="008A7554"/>
    <w:rsid w:val="008B33D0"/>
    <w:rsid w:val="008C1F0F"/>
    <w:rsid w:val="008C5847"/>
    <w:rsid w:val="008D2062"/>
    <w:rsid w:val="008D2F03"/>
    <w:rsid w:val="008D4A78"/>
    <w:rsid w:val="008D559F"/>
    <w:rsid w:val="008D5F38"/>
    <w:rsid w:val="008E5A18"/>
    <w:rsid w:val="008F02F5"/>
    <w:rsid w:val="008F076B"/>
    <w:rsid w:val="008F1435"/>
    <w:rsid w:val="008F7102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390A"/>
    <w:rsid w:val="00944FFF"/>
    <w:rsid w:val="00945ED3"/>
    <w:rsid w:val="00952FCF"/>
    <w:rsid w:val="009547B9"/>
    <w:rsid w:val="00966B22"/>
    <w:rsid w:val="00974107"/>
    <w:rsid w:val="00974AA7"/>
    <w:rsid w:val="00984CE8"/>
    <w:rsid w:val="009857C0"/>
    <w:rsid w:val="009A1B92"/>
    <w:rsid w:val="009A5652"/>
    <w:rsid w:val="009A59DC"/>
    <w:rsid w:val="009C3E8F"/>
    <w:rsid w:val="009C68A2"/>
    <w:rsid w:val="009C7E3C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29D6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779D9"/>
    <w:rsid w:val="00A81183"/>
    <w:rsid w:val="00A848CD"/>
    <w:rsid w:val="00AA0161"/>
    <w:rsid w:val="00AB1002"/>
    <w:rsid w:val="00AB2374"/>
    <w:rsid w:val="00AB2CFE"/>
    <w:rsid w:val="00AB2DA8"/>
    <w:rsid w:val="00AB3D69"/>
    <w:rsid w:val="00AB6035"/>
    <w:rsid w:val="00AD1853"/>
    <w:rsid w:val="00AD67A0"/>
    <w:rsid w:val="00AD7319"/>
    <w:rsid w:val="00AE49A7"/>
    <w:rsid w:val="00AE701F"/>
    <w:rsid w:val="00B05172"/>
    <w:rsid w:val="00B06964"/>
    <w:rsid w:val="00B10269"/>
    <w:rsid w:val="00B1031E"/>
    <w:rsid w:val="00B11D69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717AB"/>
    <w:rsid w:val="00B7369F"/>
    <w:rsid w:val="00B73AC9"/>
    <w:rsid w:val="00B74695"/>
    <w:rsid w:val="00B7664E"/>
    <w:rsid w:val="00B95B3D"/>
    <w:rsid w:val="00BA0381"/>
    <w:rsid w:val="00BA24DE"/>
    <w:rsid w:val="00BA5CA4"/>
    <w:rsid w:val="00BA7DC3"/>
    <w:rsid w:val="00BC0830"/>
    <w:rsid w:val="00BC2B0C"/>
    <w:rsid w:val="00BD3AF7"/>
    <w:rsid w:val="00BF3D2B"/>
    <w:rsid w:val="00BF3FB9"/>
    <w:rsid w:val="00BF45AE"/>
    <w:rsid w:val="00BF4E0A"/>
    <w:rsid w:val="00BF51BA"/>
    <w:rsid w:val="00BF56AC"/>
    <w:rsid w:val="00C0716B"/>
    <w:rsid w:val="00C10BCE"/>
    <w:rsid w:val="00C2344B"/>
    <w:rsid w:val="00C25CE7"/>
    <w:rsid w:val="00C2669D"/>
    <w:rsid w:val="00C31A05"/>
    <w:rsid w:val="00C31DE6"/>
    <w:rsid w:val="00C3328C"/>
    <w:rsid w:val="00C34021"/>
    <w:rsid w:val="00C3708D"/>
    <w:rsid w:val="00C370E9"/>
    <w:rsid w:val="00C450F4"/>
    <w:rsid w:val="00C47B10"/>
    <w:rsid w:val="00C71CFF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CE5151"/>
    <w:rsid w:val="00CF68BA"/>
    <w:rsid w:val="00D02F33"/>
    <w:rsid w:val="00D10415"/>
    <w:rsid w:val="00D20C72"/>
    <w:rsid w:val="00D2110C"/>
    <w:rsid w:val="00D24D7E"/>
    <w:rsid w:val="00D4735C"/>
    <w:rsid w:val="00D50E03"/>
    <w:rsid w:val="00D53160"/>
    <w:rsid w:val="00D548AA"/>
    <w:rsid w:val="00D613B4"/>
    <w:rsid w:val="00D6506F"/>
    <w:rsid w:val="00D6775E"/>
    <w:rsid w:val="00D7003F"/>
    <w:rsid w:val="00D71458"/>
    <w:rsid w:val="00D75268"/>
    <w:rsid w:val="00DA097B"/>
    <w:rsid w:val="00DA1E10"/>
    <w:rsid w:val="00DB05A1"/>
    <w:rsid w:val="00DD0FE4"/>
    <w:rsid w:val="00DE7C8B"/>
    <w:rsid w:val="00DF24D0"/>
    <w:rsid w:val="00DF509B"/>
    <w:rsid w:val="00DF7A34"/>
    <w:rsid w:val="00E00E67"/>
    <w:rsid w:val="00E03F9E"/>
    <w:rsid w:val="00E0466A"/>
    <w:rsid w:val="00E11386"/>
    <w:rsid w:val="00E344CF"/>
    <w:rsid w:val="00E366C2"/>
    <w:rsid w:val="00E36872"/>
    <w:rsid w:val="00E42373"/>
    <w:rsid w:val="00E550F3"/>
    <w:rsid w:val="00E754B5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5ACF"/>
    <w:rsid w:val="00ED7709"/>
    <w:rsid w:val="00EE354C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58CE"/>
    <w:rsid w:val="00F15D67"/>
    <w:rsid w:val="00F255FF"/>
    <w:rsid w:val="00F26F19"/>
    <w:rsid w:val="00F30BEE"/>
    <w:rsid w:val="00F32351"/>
    <w:rsid w:val="00F348AB"/>
    <w:rsid w:val="00F442D9"/>
    <w:rsid w:val="00F56884"/>
    <w:rsid w:val="00F62D61"/>
    <w:rsid w:val="00F8166E"/>
    <w:rsid w:val="00F84793"/>
    <w:rsid w:val="00F8529F"/>
    <w:rsid w:val="00FB724B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0A1A-2958-441B-B4BA-5056615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1288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60</cp:revision>
  <cp:lastPrinted>2018-09-19T15:53:00Z</cp:lastPrinted>
  <dcterms:created xsi:type="dcterms:W3CDTF">2018-11-13T10:04:00Z</dcterms:created>
  <dcterms:modified xsi:type="dcterms:W3CDTF">2019-01-22T14:18:00Z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